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43032" w:rsidP="00A43032" w:rsidRDefault="00A43032" w14:paraId="57D76DEA" w14:textId="77777777">
      <w:pPr>
        <w:jc w:val="center"/>
        <w:rPr>
          <w:rFonts w:ascii="Franklin Gothic Book" w:hAnsi="Franklin Gothic Book"/>
          <w:b/>
          <w:sz w:val="24"/>
          <w:szCs w:val="24"/>
        </w:rPr>
      </w:pPr>
    </w:p>
    <w:p w:rsidRPr="00A43032" w:rsidR="008202CC" w:rsidP="007FBC94" w:rsidRDefault="008202CC" w14:paraId="45E73048" w14:textId="2BE7AF15">
      <w:pPr>
        <w:jc w:val="center"/>
        <w:rPr>
          <w:rFonts w:ascii="Franklin Gothic Book" w:hAnsi="Franklin Gothic Book"/>
          <w:b w:val="1"/>
          <w:bCs w:val="1"/>
          <w:sz w:val="24"/>
          <w:szCs w:val="24"/>
        </w:rPr>
      </w:pPr>
      <w:r w:rsidRPr="007FBC94" w:rsidR="008202CC">
        <w:rPr>
          <w:rFonts w:ascii="Franklin Gothic Book" w:hAnsi="Franklin Gothic Book"/>
          <w:b w:val="1"/>
          <w:bCs w:val="1"/>
          <w:sz w:val="24"/>
          <w:szCs w:val="24"/>
        </w:rPr>
        <w:t xml:space="preserve">Activity 2. </w:t>
      </w:r>
      <w:r w:rsidRPr="007FBC94" w:rsidR="4CE2FD5C">
        <w:rPr>
          <w:rFonts w:ascii="Franklin Gothic Book" w:hAnsi="Franklin Gothic Book"/>
          <w:b w:val="1"/>
          <w:bCs w:val="1"/>
          <w:sz w:val="24"/>
          <w:szCs w:val="24"/>
        </w:rPr>
        <w:t xml:space="preserve">Balancing Effectiveness with </w:t>
      </w:r>
      <w:r w:rsidRPr="007FBC94" w:rsidR="008202CC">
        <w:rPr>
          <w:rFonts w:ascii="Franklin Gothic Book" w:hAnsi="Franklin Gothic Book"/>
          <w:b w:val="1"/>
          <w:bCs w:val="1"/>
          <w:sz w:val="24"/>
          <w:szCs w:val="24"/>
        </w:rPr>
        <w:t>Potential for Implementation</w:t>
      </w:r>
    </w:p>
    <w:p w:rsidR="00D207A1" w:rsidP="008202CC" w:rsidRDefault="00D207A1" w14:paraId="602A34B2" w14:textId="77777777">
      <w:pPr>
        <w:rPr>
          <w:rFonts w:ascii="Franklin Gothic Book" w:hAnsi="Franklin Gothic Book"/>
          <w:sz w:val="24"/>
          <w:szCs w:val="24"/>
        </w:rPr>
      </w:pPr>
    </w:p>
    <w:p w:rsidR="008202CC" w:rsidP="007FBC94" w:rsidRDefault="008202CC" w14:paraId="51342441" w14:textId="6490A750">
      <w:pPr>
        <w:rPr>
          <w:rFonts w:ascii="Franklin Gothic Book" w:hAnsi="Franklin Gothic Book"/>
          <w:sz w:val="24"/>
          <w:szCs w:val="24"/>
        </w:rPr>
      </w:pPr>
      <w:r w:rsidRPr="007FBC94" w:rsidR="008202CC">
        <w:rPr>
          <w:rFonts w:ascii="Franklin Gothic Book" w:hAnsi="Franklin Gothic Book"/>
          <w:sz w:val="24"/>
          <w:szCs w:val="24"/>
        </w:rPr>
        <w:t xml:space="preserve">You are selecting an evidence-based intervention to prevent obesity in </w:t>
      </w:r>
      <w:r w:rsidRPr="007FBC94" w:rsidR="35492409">
        <w:rPr>
          <w:rFonts w:ascii="Franklin Gothic Book" w:hAnsi="Franklin Gothic Book"/>
          <w:sz w:val="24"/>
          <w:szCs w:val="24"/>
        </w:rPr>
        <w:t>2</w:t>
      </w:r>
      <w:r w:rsidRPr="007FBC94" w:rsidR="0A35634D">
        <w:rPr>
          <w:rFonts w:ascii="Franklin Gothic Book" w:hAnsi="Franklin Gothic Book"/>
          <w:sz w:val="24"/>
          <w:szCs w:val="24"/>
        </w:rPr>
        <w:t>-</w:t>
      </w:r>
      <w:r w:rsidRPr="007FBC94" w:rsidR="35492409">
        <w:rPr>
          <w:rFonts w:ascii="Franklin Gothic Book" w:hAnsi="Franklin Gothic Book"/>
          <w:sz w:val="24"/>
          <w:szCs w:val="24"/>
        </w:rPr>
        <w:t>to</w:t>
      </w:r>
      <w:r w:rsidRPr="007FBC94" w:rsidR="20A1A623">
        <w:rPr>
          <w:rFonts w:ascii="Franklin Gothic Book" w:hAnsi="Franklin Gothic Book"/>
          <w:sz w:val="24"/>
          <w:szCs w:val="24"/>
        </w:rPr>
        <w:t>-</w:t>
      </w:r>
      <w:proofErr w:type="gramStart"/>
      <w:r w:rsidRPr="007FBC94" w:rsidR="35492409">
        <w:rPr>
          <w:rFonts w:ascii="Franklin Gothic Book" w:hAnsi="Franklin Gothic Book"/>
          <w:sz w:val="24"/>
          <w:szCs w:val="24"/>
        </w:rPr>
        <w:t>5 year</w:t>
      </w:r>
      <w:proofErr w:type="gramEnd"/>
      <w:r w:rsidRPr="007FBC94" w:rsidR="35492409">
        <w:rPr>
          <w:rFonts w:ascii="Franklin Gothic Book" w:hAnsi="Franklin Gothic Book"/>
          <w:sz w:val="24"/>
          <w:szCs w:val="24"/>
        </w:rPr>
        <w:t xml:space="preserve"> </w:t>
      </w:r>
      <w:r w:rsidRPr="007FBC94" w:rsidR="591E4A7C">
        <w:rPr>
          <w:rFonts w:ascii="Franklin Gothic Book" w:hAnsi="Franklin Gothic Book"/>
          <w:sz w:val="24"/>
          <w:szCs w:val="24"/>
        </w:rPr>
        <w:t xml:space="preserve">old </w:t>
      </w:r>
      <w:r w:rsidRPr="007FBC94" w:rsidR="35492409">
        <w:rPr>
          <w:rFonts w:ascii="Franklin Gothic Book" w:hAnsi="Franklin Gothic Book"/>
          <w:sz w:val="24"/>
          <w:szCs w:val="24"/>
        </w:rPr>
        <w:t xml:space="preserve">children in </w:t>
      </w:r>
      <w:r w:rsidRPr="007FBC94" w:rsidR="008202CC">
        <w:rPr>
          <w:rFonts w:ascii="Franklin Gothic Book" w:hAnsi="Franklin Gothic Book"/>
          <w:sz w:val="24"/>
          <w:szCs w:val="24"/>
        </w:rPr>
        <w:t xml:space="preserve">a rural, predominantly Latino/a population. Review the table summarizing information about the NAP SACC intervention from websites and peer reviewed publications. How would you rate </w:t>
      </w:r>
      <w:r w:rsidRPr="007FBC94" w:rsidR="582FE549">
        <w:rPr>
          <w:rFonts w:ascii="Franklin Gothic Book" w:hAnsi="Franklin Gothic Book"/>
          <w:sz w:val="24"/>
          <w:szCs w:val="24"/>
        </w:rPr>
        <w:t xml:space="preserve">the evidence in support of </w:t>
      </w:r>
      <w:r w:rsidRPr="007FBC94" w:rsidR="008202CC">
        <w:rPr>
          <w:rFonts w:ascii="Franklin Gothic Book" w:hAnsi="Franklin Gothic Book"/>
          <w:sz w:val="24"/>
          <w:szCs w:val="24"/>
        </w:rPr>
        <w:t xml:space="preserve">NAP SACC’s </w:t>
      </w:r>
      <w:r w:rsidRPr="007FBC94" w:rsidR="35008CB8">
        <w:rPr>
          <w:rFonts w:ascii="Franklin Gothic Book" w:hAnsi="Franklin Gothic Book"/>
          <w:sz w:val="24"/>
          <w:szCs w:val="24"/>
        </w:rPr>
        <w:t xml:space="preserve">effectiveness at preventing obesity </w:t>
      </w:r>
      <w:r w:rsidRPr="007FBC94" w:rsidR="08529BFC">
        <w:rPr>
          <w:rFonts w:ascii="Franklin Gothic Book" w:hAnsi="Franklin Gothic Book"/>
          <w:sz w:val="24"/>
          <w:szCs w:val="24"/>
        </w:rPr>
        <w:t xml:space="preserve">in 2 to 5 year </w:t>
      </w:r>
      <w:proofErr w:type="spellStart"/>
      <w:r w:rsidRPr="007FBC94" w:rsidR="08529BFC">
        <w:rPr>
          <w:rFonts w:ascii="Franklin Gothic Book" w:hAnsi="Franklin Gothic Book"/>
          <w:sz w:val="24"/>
          <w:szCs w:val="24"/>
        </w:rPr>
        <w:t>olds</w:t>
      </w:r>
      <w:proofErr w:type="spellEnd"/>
      <w:r w:rsidRPr="007FBC94" w:rsidR="35008CB8">
        <w:rPr>
          <w:rFonts w:ascii="Franklin Gothic Book" w:hAnsi="Franklin Gothic Book"/>
          <w:sz w:val="24"/>
          <w:szCs w:val="24"/>
        </w:rPr>
        <w:t xml:space="preserve">? </w:t>
      </w:r>
      <w:r w:rsidRPr="007FBC94" w:rsidR="7CB8820F">
        <w:rPr>
          <w:rFonts w:ascii="Franklin Gothic Book" w:hAnsi="Franklin Gothic Book"/>
          <w:sz w:val="24"/>
          <w:szCs w:val="24"/>
        </w:rPr>
        <w:t xml:space="preserve">In Latino/a 2 to five year </w:t>
      </w:r>
      <w:proofErr w:type="spellStart"/>
      <w:r w:rsidRPr="007FBC94" w:rsidR="7CB8820F">
        <w:rPr>
          <w:rFonts w:ascii="Franklin Gothic Book" w:hAnsi="Franklin Gothic Book"/>
          <w:sz w:val="24"/>
          <w:szCs w:val="24"/>
        </w:rPr>
        <w:t>olds</w:t>
      </w:r>
      <w:proofErr w:type="spellEnd"/>
      <w:r w:rsidRPr="007FBC94" w:rsidR="7CB8820F">
        <w:rPr>
          <w:rFonts w:ascii="Franklin Gothic Book" w:hAnsi="Franklin Gothic Book"/>
          <w:sz w:val="24"/>
          <w:szCs w:val="24"/>
        </w:rPr>
        <w:t xml:space="preserve">? What is the evidence in support of NAP SACC’s </w:t>
      </w:r>
      <w:r w:rsidRPr="007FBC94" w:rsidR="008202CC">
        <w:rPr>
          <w:rFonts w:ascii="Franklin Gothic Book" w:hAnsi="Franklin Gothic Book"/>
          <w:sz w:val="24"/>
          <w:szCs w:val="24"/>
        </w:rPr>
        <w:t>potential for implementation? What additional questions would you ask your engaged stakeholders</w:t>
      </w:r>
      <w:r w:rsidRPr="007FBC94" w:rsidR="4CD9E56F">
        <w:rPr>
          <w:rFonts w:ascii="Franklin Gothic Book" w:hAnsi="Franklin Gothic Book"/>
          <w:sz w:val="24"/>
          <w:szCs w:val="24"/>
        </w:rPr>
        <w:t xml:space="preserve"> to determine NAP SACC’s potential for implementation</w:t>
      </w:r>
      <w:r w:rsidRPr="007FBC94" w:rsidR="008202CC">
        <w:rPr>
          <w:rFonts w:ascii="Franklin Gothic Book" w:hAnsi="Franklin Gothic Book"/>
          <w:sz w:val="24"/>
          <w:szCs w:val="24"/>
        </w:rPr>
        <w:t>?</w:t>
      </w:r>
    </w:p>
    <w:p w:rsidR="00A43032" w:rsidP="008202CC" w:rsidRDefault="00A43032" w14:paraId="15ECFE6E" w14:textId="77777777">
      <w:pPr>
        <w:rPr>
          <w:rFonts w:ascii="Franklin Gothic Book" w:hAnsi="Franklin Gothic Book"/>
          <w:b/>
          <w:sz w:val="24"/>
          <w:szCs w:val="24"/>
        </w:rPr>
      </w:pPr>
    </w:p>
    <w:p w:rsidRPr="00A43032" w:rsidR="00A43032" w:rsidP="008202CC" w:rsidRDefault="00A43032" w14:paraId="55948D40" w14:textId="6CF53487">
      <w:pPr>
        <w:rPr>
          <w:rFonts w:ascii="Franklin Gothic Book" w:hAnsi="Franklin Gothic Book"/>
          <w:b/>
          <w:sz w:val="24"/>
          <w:szCs w:val="24"/>
        </w:rPr>
      </w:pPr>
      <w:r w:rsidRPr="00A43032">
        <w:rPr>
          <w:rFonts w:ascii="Franklin Gothic Book" w:hAnsi="Franklin Gothic Book"/>
          <w:b/>
          <w:sz w:val="24"/>
          <w:szCs w:val="24"/>
        </w:rPr>
        <w:t>Applying Criteria to Assess Evidence in Support of NAPSACC</w:t>
      </w:r>
    </w:p>
    <w:tbl>
      <w:tblPr>
        <w:tblW w:w="107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3505"/>
        <w:gridCol w:w="7290"/>
      </w:tblGrid>
      <w:tr w:rsidRPr="00A43032" w:rsidR="00A43032" w:rsidTr="007FBC94" w14:paraId="19571E0C" w14:textId="77777777">
        <w:tc>
          <w:tcPr>
            <w:tcW w:w="3505" w:type="dxa"/>
            <w:shd w:val="clear" w:color="auto" w:fill="F2F2F2" w:themeFill="background1" w:themeFillShade="F2"/>
            <w:tcMar/>
            <w:vAlign w:val="center"/>
          </w:tcPr>
          <w:p w:rsidRPr="00A43032" w:rsidR="00A43032" w:rsidP="004B0F07" w:rsidRDefault="00A43032" w14:paraId="196728C1" w14:textId="77777777">
            <w:pPr>
              <w:jc w:val="center"/>
              <w:rPr>
                <w:rFonts w:ascii="Franklin Gothic Book" w:hAnsi="Franklin Gothic Book" w:eastAsia="Times New Roman" w:cs="Times New Roman"/>
                <w:b/>
                <w:color w:val="000000"/>
                <w:sz w:val="24"/>
                <w:szCs w:val="24"/>
              </w:rPr>
            </w:pPr>
            <w:r w:rsidRPr="00A43032">
              <w:rPr>
                <w:rFonts w:ascii="Franklin Gothic Book" w:hAnsi="Franklin Gothic Book" w:eastAsia="Times New Roman" w:cs="Times New Roman"/>
                <w:b/>
                <w:color w:val="000000"/>
                <w:sz w:val="24"/>
                <w:szCs w:val="24"/>
              </w:rPr>
              <w:t>Criteria</w:t>
            </w:r>
          </w:p>
        </w:tc>
        <w:tc>
          <w:tcPr>
            <w:tcW w:w="7290" w:type="dxa"/>
            <w:shd w:val="clear" w:color="auto" w:fill="F2F2F2" w:themeFill="background1" w:themeFillShade="F2"/>
            <w:tcMar/>
          </w:tcPr>
          <w:p w:rsidRPr="00A43032" w:rsidR="00A43032" w:rsidP="004B0F07" w:rsidRDefault="00A43032" w14:paraId="2593274B" w14:textId="77777777">
            <w:pPr>
              <w:rPr>
                <w:rFonts w:ascii="Franklin Gothic Book" w:hAnsi="Franklin Gothic Book" w:eastAsia="Times New Roman" w:cs="Times New Roman"/>
                <w:b/>
                <w:color w:val="000000"/>
                <w:sz w:val="24"/>
                <w:szCs w:val="24"/>
              </w:rPr>
            </w:pPr>
            <w:r w:rsidRPr="00A43032">
              <w:rPr>
                <w:rFonts w:ascii="Franklin Gothic Book" w:hAnsi="Franklin Gothic Book" w:eastAsia="Times New Roman" w:cs="Times New Roman"/>
                <w:b/>
                <w:color w:val="000000"/>
                <w:sz w:val="24"/>
                <w:szCs w:val="24"/>
              </w:rPr>
              <w:t xml:space="preserve"> Findings</w:t>
            </w:r>
          </w:p>
        </w:tc>
      </w:tr>
      <w:tr w:rsidRPr="00A43032" w:rsidR="00A43032" w:rsidTr="007FBC94" w14:paraId="313EB8BD" w14:textId="77777777">
        <w:tc>
          <w:tcPr>
            <w:tcW w:w="10795" w:type="dxa"/>
            <w:gridSpan w:val="2"/>
            <w:shd w:val="clear" w:color="auto" w:fill="F2F2F2" w:themeFill="background1" w:themeFillShade="F2"/>
            <w:tcMar/>
            <w:vAlign w:val="center"/>
          </w:tcPr>
          <w:p w:rsidRPr="00A43032" w:rsidR="00A43032" w:rsidP="004B0F07" w:rsidRDefault="00A43032" w14:paraId="3E2875DF" w14:textId="77777777">
            <w:pPr>
              <w:rPr>
                <w:rFonts w:ascii="Franklin Gothic Book" w:hAnsi="Franklin Gothic Book" w:eastAsia="Times New Roman" w:cs="Times New Roman"/>
                <w:b/>
                <w:color w:val="000000"/>
                <w:sz w:val="24"/>
                <w:szCs w:val="24"/>
              </w:rPr>
            </w:pPr>
            <w:r w:rsidRPr="00A43032">
              <w:rPr>
                <w:rFonts w:ascii="Franklin Gothic Book" w:hAnsi="Franklin Gothic Book" w:eastAsia="Times New Roman" w:cs="Times New Roman"/>
                <w:b/>
                <w:color w:val="000000"/>
                <w:sz w:val="24"/>
                <w:szCs w:val="24"/>
              </w:rPr>
              <w:t>Evidence for Effectiveness</w:t>
            </w:r>
          </w:p>
        </w:tc>
      </w:tr>
      <w:tr w:rsidRPr="00A43032" w:rsidR="00A43032" w:rsidTr="007FBC94" w14:paraId="607C955F" w14:textId="77777777">
        <w:trPr>
          <w:trHeight w:val="917"/>
        </w:trPr>
        <w:tc>
          <w:tcPr>
            <w:tcW w:w="3505" w:type="dxa"/>
            <w:tcMar/>
            <w:vAlign w:val="center"/>
          </w:tcPr>
          <w:p w:rsidRPr="00A43032" w:rsidR="00A43032" w:rsidP="004B0F07" w:rsidRDefault="00A43032" w14:paraId="4E420480" w14:textId="77777777">
            <w:pPr>
              <w:jc w:val="center"/>
              <w:rPr>
                <w:rFonts w:ascii="Franklin Gothic Book" w:hAnsi="Franklin Gothic Book" w:eastAsia="Times New Roman" w:cs="Times New Roman"/>
                <w:color w:val="000000"/>
                <w:sz w:val="24"/>
                <w:szCs w:val="24"/>
              </w:rPr>
            </w:pPr>
            <w:r w:rsidRPr="00A43032">
              <w:rPr>
                <w:rFonts w:ascii="Franklin Gothic Book" w:hAnsi="Franklin Gothic Book" w:eastAsia="Times New Roman" w:cs="Times New Roman"/>
                <w:b/>
                <w:color w:val="000000"/>
                <w:sz w:val="24"/>
                <w:szCs w:val="24"/>
              </w:rPr>
              <w:t xml:space="preserve">Methods Used to Test Intervention Effects  </w:t>
            </w:r>
          </w:p>
        </w:tc>
        <w:tc>
          <w:tcPr>
            <w:tcW w:w="7290" w:type="dxa"/>
            <w:tcMar/>
          </w:tcPr>
          <w:p w:rsidRPr="00A43032" w:rsidR="00A43032" w:rsidP="004B0F07" w:rsidRDefault="00A43032" w14:paraId="55B3742C" w14:textId="77777777">
            <w:pPr>
              <w:rPr>
                <w:rFonts w:ascii="Franklin Gothic Book" w:hAnsi="Franklin Gothic Book" w:eastAsia="Times New Roman" w:cs="Times New Roman"/>
                <w:color w:val="000000"/>
                <w:sz w:val="24"/>
                <w:szCs w:val="24"/>
              </w:rPr>
            </w:pPr>
            <w:r w:rsidRPr="00A43032">
              <w:rPr>
                <w:rFonts w:ascii="Franklin Gothic Book" w:hAnsi="Franklin Gothic Book" w:eastAsia="Times New Roman" w:cs="Times New Roman"/>
                <w:color w:val="000000"/>
                <w:sz w:val="24"/>
                <w:szCs w:val="24"/>
              </w:rPr>
              <w:t xml:space="preserve">Tested in four randomized control trials with sample sizes of 17, 26, 31 and 82 childcare centers. Changes to childcare policies and practices were measured using a reliable and valid measure. </w:t>
            </w:r>
          </w:p>
        </w:tc>
      </w:tr>
      <w:tr w:rsidRPr="00A43032" w:rsidR="00A43032" w:rsidTr="007FBC94" w14:paraId="5AC81F81" w14:textId="77777777">
        <w:trPr>
          <w:trHeight w:val="980"/>
        </w:trPr>
        <w:tc>
          <w:tcPr>
            <w:tcW w:w="3505" w:type="dxa"/>
            <w:tcMar/>
            <w:vAlign w:val="center"/>
          </w:tcPr>
          <w:p w:rsidRPr="00A43032" w:rsidR="00A43032" w:rsidP="004B0F07" w:rsidRDefault="00A43032" w14:paraId="267B521A" w14:textId="77777777">
            <w:pPr>
              <w:jc w:val="center"/>
              <w:rPr>
                <w:rFonts w:ascii="Franklin Gothic Book" w:hAnsi="Franklin Gothic Book" w:eastAsia="Times New Roman" w:cs="Times New Roman"/>
                <w:b/>
                <w:color w:val="000000"/>
                <w:sz w:val="24"/>
                <w:szCs w:val="24"/>
              </w:rPr>
            </w:pPr>
            <w:r w:rsidRPr="00A43032">
              <w:rPr>
                <w:rFonts w:ascii="Franklin Gothic Book" w:hAnsi="Franklin Gothic Book" w:eastAsia="Times New Roman" w:cs="Times New Roman"/>
                <w:b/>
                <w:color w:val="000000"/>
                <w:sz w:val="24"/>
                <w:szCs w:val="24"/>
              </w:rPr>
              <w:t xml:space="preserve">Consistency of Findings Across Studies  </w:t>
            </w:r>
          </w:p>
        </w:tc>
        <w:tc>
          <w:tcPr>
            <w:tcW w:w="7290" w:type="dxa"/>
            <w:tcMar/>
          </w:tcPr>
          <w:p w:rsidRPr="00A43032" w:rsidR="00A43032" w:rsidP="004B0F07" w:rsidRDefault="00A43032" w14:paraId="64097B32" w14:textId="77777777">
            <w:pPr>
              <w:rPr>
                <w:rFonts w:ascii="Franklin Gothic Book" w:hAnsi="Franklin Gothic Book" w:eastAsia="Times New Roman" w:cs="Times New Roman"/>
                <w:color w:val="000000"/>
                <w:sz w:val="24"/>
                <w:szCs w:val="24"/>
              </w:rPr>
            </w:pPr>
            <w:r w:rsidRPr="00A43032">
              <w:rPr>
                <w:rFonts w:ascii="Franklin Gothic Book" w:hAnsi="Franklin Gothic Book" w:eastAsia="Times New Roman" w:cs="Times New Roman"/>
                <w:color w:val="000000"/>
                <w:sz w:val="24"/>
                <w:szCs w:val="24"/>
              </w:rPr>
              <w:t xml:space="preserve">Positive effects on childcare program’s physical and nutrition policies and practices are consistent across most studies. Effects on children’s dietary intake and levels of physical activity are mixed. </w:t>
            </w:r>
          </w:p>
        </w:tc>
      </w:tr>
      <w:tr w:rsidRPr="00A43032" w:rsidR="00A43032" w:rsidTr="007FBC94" w14:paraId="69DB98EC" w14:textId="77777777">
        <w:trPr>
          <w:trHeight w:val="980"/>
        </w:trPr>
        <w:tc>
          <w:tcPr>
            <w:tcW w:w="3505" w:type="dxa"/>
            <w:tcMar/>
            <w:vAlign w:val="center"/>
          </w:tcPr>
          <w:p w:rsidRPr="00A43032" w:rsidR="00A43032" w:rsidP="004B0F07" w:rsidRDefault="00A43032" w14:paraId="4A6D78BF" w14:textId="77777777">
            <w:pPr>
              <w:jc w:val="center"/>
              <w:rPr>
                <w:rFonts w:ascii="Franklin Gothic Book" w:hAnsi="Franklin Gothic Book" w:eastAsia="Times New Roman" w:cs="Times New Roman"/>
                <w:b/>
                <w:color w:val="000000"/>
                <w:sz w:val="24"/>
                <w:szCs w:val="24"/>
              </w:rPr>
            </w:pPr>
            <w:r w:rsidRPr="00A43032">
              <w:rPr>
                <w:rFonts w:ascii="Franklin Gothic Book" w:hAnsi="Franklin Gothic Book" w:eastAsia="Times New Roman" w:cs="Times New Roman"/>
                <w:b/>
                <w:color w:val="000000"/>
                <w:sz w:val="24"/>
                <w:szCs w:val="24"/>
              </w:rPr>
              <w:t>Magnitude of Effects</w:t>
            </w:r>
          </w:p>
        </w:tc>
        <w:tc>
          <w:tcPr>
            <w:tcW w:w="7290" w:type="dxa"/>
            <w:tcMar/>
          </w:tcPr>
          <w:p w:rsidRPr="00A43032" w:rsidR="00A43032" w:rsidP="004B0F07" w:rsidRDefault="00A43032" w14:paraId="64BE0BE7" w14:textId="77777777">
            <w:pPr>
              <w:rPr>
                <w:rFonts w:ascii="Franklin Gothic Book" w:hAnsi="Franklin Gothic Book" w:eastAsia="Times New Roman" w:cs="Times New Roman"/>
                <w:color w:val="000000"/>
                <w:sz w:val="24"/>
                <w:szCs w:val="24"/>
              </w:rPr>
            </w:pPr>
            <w:r w:rsidRPr="00A43032">
              <w:rPr>
                <w:rFonts w:ascii="Franklin Gothic Book" w:hAnsi="Franklin Gothic Book" w:eastAsia="Times New Roman" w:cs="Times New Roman"/>
                <w:color w:val="000000"/>
                <w:sz w:val="24"/>
                <w:szCs w:val="24"/>
              </w:rPr>
              <w:t xml:space="preserve">Childcare centers achieved an 11% improvement in their Environment and Policy Assessment and Observation instrument scores following the interventions.  </w:t>
            </w:r>
          </w:p>
        </w:tc>
      </w:tr>
      <w:tr w:rsidRPr="00A43032" w:rsidR="00A43032" w:rsidTr="007FBC94" w14:paraId="3612F9DA" w14:textId="77777777">
        <w:trPr>
          <w:trHeight w:val="1700"/>
        </w:trPr>
        <w:tc>
          <w:tcPr>
            <w:tcW w:w="3505" w:type="dxa"/>
            <w:tcMar/>
            <w:vAlign w:val="center"/>
          </w:tcPr>
          <w:p w:rsidRPr="00A43032" w:rsidR="00A43032" w:rsidP="004B0F07" w:rsidRDefault="00A43032" w14:paraId="2886872D" w14:textId="77777777">
            <w:pPr>
              <w:jc w:val="center"/>
              <w:rPr>
                <w:rFonts w:ascii="Franklin Gothic Book" w:hAnsi="Franklin Gothic Book" w:eastAsia="Times New Roman" w:cs="Times New Roman"/>
                <w:color w:val="000000"/>
                <w:sz w:val="24"/>
                <w:szCs w:val="24"/>
              </w:rPr>
            </w:pPr>
            <w:r w:rsidRPr="00A43032">
              <w:rPr>
                <w:rFonts w:ascii="Franklin Gothic Book" w:hAnsi="Franklin Gothic Book" w:eastAsia="Times New Roman" w:cs="Times New Roman"/>
                <w:b/>
                <w:color w:val="000000"/>
                <w:sz w:val="24"/>
                <w:szCs w:val="24"/>
              </w:rPr>
              <w:t>Effectiveness Across Subpopulations</w:t>
            </w:r>
          </w:p>
        </w:tc>
        <w:tc>
          <w:tcPr>
            <w:tcW w:w="7290" w:type="dxa"/>
            <w:tcMar/>
          </w:tcPr>
          <w:p w:rsidRPr="00A43032" w:rsidR="00A43032" w:rsidP="004B0F07" w:rsidRDefault="00A43032" w14:paraId="4BFCA356" w14:textId="77777777">
            <w:pPr>
              <w:rPr>
                <w:rFonts w:ascii="Franklin Gothic Book" w:hAnsi="Franklin Gothic Book" w:eastAsia="Times New Roman" w:cs="Times New Roman"/>
                <w:color w:val="000000"/>
                <w:sz w:val="24"/>
                <w:szCs w:val="24"/>
              </w:rPr>
            </w:pPr>
            <w:r w:rsidRPr="00A43032">
              <w:rPr>
                <w:rFonts w:ascii="Franklin Gothic Book" w:hAnsi="Franklin Gothic Book" w:eastAsia="Times New Roman" w:cs="Times New Roman"/>
                <w:sz w:val="24"/>
                <w:szCs w:val="24"/>
              </w:rPr>
              <w:t xml:space="preserve">NAPSACC has been tested and shown to be effective in multiple states including North Carolina, Maine, Arizona, and Louisiana and with rural and American Indian populations. NAPSACC has been tested and found to be effective in childcare centers in rural and low-income communities and with populations ranging from 54% to 67% non-white.   </w:t>
            </w:r>
          </w:p>
        </w:tc>
      </w:tr>
      <w:tr w:rsidRPr="00A43032" w:rsidR="00A43032" w:rsidTr="007FBC94" w14:paraId="5A7F879F" w14:textId="77777777">
        <w:trPr>
          <w:trHeight w:val="710"/>
        </w:trPr>
        <w:tc>
          <w:tcPr>
            <w:tcW w:w="3505" w:type="dxa"/>
            <w:tcMar/>
            <w:vAlign w:val="center"/>
          </w:tcPr>
          <w:p w:rsidRPr="00A43032" w:rsidR="00A43032" w:rsidP="004B0F07" w:rsidRDefault="00A43032" w14:paraId="1107F159" w14:textId="77777777">
            <w:pPr>
              <w:jc w:val="center"/>
              <w:rPr>
                <w:rFonts w:ascii="Franklin Gothic Book" w:hAnsi="Franklin Gothic Book" w:eastAsia="Times New Roman" w:cs="Times New Roman"/>
                <w:color w:val="000000"/>
                <w:sz w:val="24"/>
                <w:szCs w:val="24"/>
              </w:rPr>
            </w:pPr>
            <w:r w:rsidRPr="00A43032">
              <w:rPr>
                <w:rFonts w:ascii="Franklin Gothic Book" w:hAnsi="Franklin Gothic Book" w:eastAsia="Times New Roman" w:cs="Times New Roman"/>
                <w:b/>
                <w:color w:val="000000"/>
                <w:sz w:val="24"/>
                <w:szCs w:val="24"/>
              </w:rPr>
              <w:t>Degree to which Findings are Current</w:t>
            </w:r>
          </w:p>
        </w:tc>
        <w:tc>
          <w:tcPr>
            <w:tcW w:w="7290" w:type="dxa"/>
            <w:tcMar/>
          </w:tcPr>
          <w:p w:rsidRPr="00A43032" w:rsidR="00A43032" w:rsidP="004B0F07" w:rsidRDefault="00A43032" w14:paraId="78C28BF1" w14:textId="77777777">
            <w:pPr>
              <w:rPr>
                <w:rFonts w:ascii="Franklin Gothic Book" w:hAnsi="Franklin Gothic Book" w:eastAsia="Times New Roman" w:cs="Times New Roman"/>
                <w:sz w:val="24"/>
                <w:szCs w:val="24"/>
              </w:rPr>
            </w:pPr>
            <w:r w:rsidRPr="00A43032">
              <w:rPr>
                <w:rFonts w:ascii="Franklin Gothic Book" w:hAnsi="Franklin Gothic Book" w:eastAsia="Times New Roman" w:cs="Times New Roman"/>
                <w:sz w:val="24"/>
                <w:szCs w:val="24"/>
              </w:rPr>
              <w:t xml:space="preserve">The current body of knowledge on NAPSACC was generated from 2008 to 2020. </w:t>
            </w:r>
          </w:p>
        </w:tc>
      </w:tr>
      <w:tr w:rsidRPr="00A43032" w:rsidR="00A43032" w:rsidTr="007FBC94" w14:paraId="5A32581D" w14:textId="77777777">
        <w:trPr>
          <w:trHeight w:val="440"/>
        </w:trPr>
        <w:tc>
          <w:tcPr>
            <w:tcW w:w="10795" w:type="dxa"/>
            <w:gridSpan w:val="2"/>
            <w:shd w:val="clear" w:color="auto" w:fill="F2F2F2" w:themeFill="background1" w:themeFillShade="F2"/>
            <w:tcMar/>
            <w:vAlign w:val="center"/>
          </w:tcPr>
          <w:p w:rsidRPr="00A43032" w:rsidR="00A43032" w:rsidP="004B0F07" w:rsidRDefault="00A43032" w14:paraId="6982CE54" w14:textId="77777777">
            <w:pPr>
              <w:rPr>
                <w:rFonts w:ascii="Franklin Gothic Book" w:hAnsi="Franklin Gothic Book" w:eastAsia="Times New Roman" w:cs="Times New Roman"/>
                <w:b/>
                <w:sz w:val="24"/>
                <w:szCs w:val="24"/>
                <w:vertAlign w:val="superscript"/>
              </w:rPr>
            </w:pPr>
            <w:r w:rsidRPr="00A43032">
              <w:rPr>
                <w:rFonts w:ascii="Franklin Gothic Book" w:hAnsi="Franklin Gothic Book" w:eastAsia="Times New Roman" w:cs="Times New Roman"/>
                <w:b/>
                <w:sz w:val="24"/>
                <w:szCs w:val="24"/>
              </w:rPr>
              <w:t>Evidence of potential for implementation in real world practice (RE-AIM)</w:t>
            </w:r>
          </w:p>
        </w:tc>
      </w:tr>
      <w:tr w:rsidRPr="00A43032" w:rsidR="00A43032" w:rsidTr="007FBC94" w14:paraId="2EC6F36F" w14:textId="77777777">
        <w:trPr>
          <w:trHeight w:val="305"/>
        </w:trPr>
        <w:tc>
          <w:tcPr>
            <w:tcW w:w="3505" w:type="dxa"/>
            <w:tcMar/>
            <w:vAlign w:val="center"/>
          </w:tcPr>
          <w:p w:rsidRPr="00A43032" w:rsidR="00A43032" w:rsidP="004B0F07" w:rsidRDefault="00A43032" w14:paraId="586B2414" w14:textId="77777777">
            <w:pPr>
              <w:jc w:val="center"/>
              <w:rPr>
                <w:rFonts w:ascii="Franklin Gothic Book" w:hAnsi="Franklin Gothic Book" w:eastAsia="Times New Roman" w:cs="Times New Roman"/>
                <w:b/>
                <w:sz w:val="24"/>
                <w:szCs w:val="24"/>
              </w:rPr>
            </w:pPr>
            <w:r w:rsidRPr="00A43032">
              <w:rPr>
                <w:rFonts w:ascii="Franklin Gothic Book" w:hAnsi="Franklin Gothic Book" w:eastAsia="Times New Roman" w:cs="Times New Roman"/>
                <w:b/>
                <w:sz w:val="24"/>
                <w:szCs w:val="24"/>
              </w:rPr>
              <w:t xml:space="preserve">Reach </w:t>
            </w:r>
          </w:p>
        </w:tc>
        <w:tc>
          <w:tcPr>
            <w:tcW w:w="7290" w:type="dxa"/>
            <w:tcMar/>
          </w:tcPr>
          <w:p w:rsidRPr="00A43032" w:rsidR="00A43032" w:rsidP="004B0F07" w:rsidRDefault="00A43032" w14:paraId="2154016A" w14:textId="77777777">
            <w:pPr>
              <w:rPr>
                <w:rFonts w:ascii="Franklin Gothic Book" w:hAnsi="Franklin Gothic Book" w:eastAsia="Times New Roman" w:cs="Times New Roman"/>
                <w:sz w:val="24"/>
                <w:szCs w:val="24"/>
              </w:rPr>
            </w:pPr>
            <w:r w:rsidRPr="00A43032">
              <w:rPr>
                <w:rFonts w:ascii="Franklin Gothic Book" w:hAnsi="Franklin Gothic Book" w:eastAsia="Times New Roman" w:cs="Times New Roman"/>
                <w:sz w:val="24"/>
                <w:szCs w:val="24"/>
              </w:rPr>
              <w:t xml:space="preserve">In the United States, nearly 75 percent of children spend time in day care, giving NAPSACC potential to reach a large number of children.   </w:t>
            </w:r>
          </w:p>
        </w:tc>
      </w:tr>
      <w:tr w:rsidRPr="00A43032" w:rsidR="00A43032" w:rsidTr="007FBC94" w14:paraId="5762BBBD" w14:textId="77777777">
        <w:trPr>
          <w:trHeight w:val="980"/>
        </w:trPr>
        <w:tc>
          <w:tcPr>
            <w:tcW w:w="3505" w:type="dxa"/>
            <w:tcMar/>
            <w:vAlign w:val="center"/>
          </w:tcPr>
          <w:p w:rsidRPr="00A43032" w:rsidR="00A43032" w:rsidP="004B0F07" w:rsidRDefault="00A43032" w14:paraId="2175BE72" w14:textId="77777777">
            <w:pPr>
              <w:jc w:val="center"/>
              <w:rPr>
                <w:rFonts w:ascii="Franklin Gothic Book" w:hAnsi="Franklin Gothic Book" w:eastAsia="Times New Roman" w:cs="Times New Roman"/>
                <w:b/>
                <w:color w:val="000000"/>
                <w:sz w:val="24"/>
                <w:szCs w:val="24"/>
                <w:highlight w:val="white"/>
              </w:rPr>
            </w:pPr>
            <w:r w:rsidRPr="00A43032">
              <w:rPr>
                <w:rFonts w:ascii="Franklin Gothic Book" w:hAnsi="Franklin Gothic Book" w:eastAsia="Times New Roman" w:cs="Times New Roman"/>
                <w:b/>
                <w:color w:val="000000"/>
                <w:sz w:val="24"/>
                <w:szCs w:val="24"/>
                <w:highlight w:val="white"/>
              </w:rPr>
              <w:lastRenderedPageBreak/>
              <w:t>Adoption</w:t>
            </w:r>
          </w:p>
        </w:tc>
        <w:tc>
          <w:tcPr>
            <w:tcW w:w="7290" w:type="dxa"/>
            <w:tcMar/>
          </w:tcPr>
          <w:p w:rsidRPr="00A43032" w:rsidR="00A43032" w:rsidP="004B0F07" w:rsidRDefault="00A43032" w14:paraId="3D17DC14" w14:textId="68874F52">
            <w:pPr>
              <w:rPr>
                <w:rFonts w:ascii="Franklin Gothic Book" w:hAnsi="Franklin Gothic Book" w:eastAsia="Times New Roman" w:cs="Times New Roman"/>
                <w:sz w:val="24"/>
                <w:szCs w:val="24"/>
              </w:rPr>
            </w:pPr>
            <w:r w:rsidRPr="007FBC94" w:rsidR="00A43032">
              <w:rPr>
                <w:rFonts w:ascii="Franklin Gothic Book" w:hAnsi="Franklin Gothic Book" w:eastAsia="Times New Roman" w:cs="Times New Roman"/>
                <w:sz w:val="24"/>
                <w:szCs w:val="24"/>
              </w:rPr>
              <w:t>In a statewide evaluation study, 73% (41/56)</w:t>
            </w:r>
            <w:r w:rsidRPr="007FBC94" w:rsidR="6B961C54">
              <w:rPr>
                <w:rFonts w:ascii="Franklin Gothic Book" w:hAnsi="Franklin Gothic Book" w:eastAsia="Times New Roman" w:cs="Times New Roman"/>
                <w:sz w:val="24"/>
                <w:szCs w:val="24"/>
              </w:rPr>
              <w:t xml:space="preserve"> of invited childcare settings agreed to adopt NAP SACC</w:t>
            </w:r>
            <w:r w:rsidRPr="007FBC94" w:rsidR="00A43032">
              <w:rPr>
                <w:rFonts w:ascii="Franklin Gothic Book" w:hAnsi="Franklin Gothic Book" w:eastAsia="Times New Roman" w:cs="Times New Roman"/>
                <w:sz w:val="24"/>
                <w:szCs w:val="24"/>
              </w:rPr>
              <w:t xml:space="preserve">. The intervention has also been successfully adapted and adopted in multiple states and countries. </w:t>
            </w:r>
          </w:p>
        </w:tc>
      </w:tr>
      <w:tr w:rsidRPr="00A43032" w:rsidR="00A43032" w:rsidTr="007FBC94" w14:paraId="1E18FFB6" w14:textId="77777777">
        <w:trPr>
          <w:trHeight w:val="4580"/>
        </w:trPr>
        <w:tc>
          <w:tcPr>
            <w:tcW w:w="3505" w:type="dxa"/>
            <w:tcMar/>
            <w:vAlign w:val="center"/>
          </w:tcPr>
          <w:p w:rsidRPr="00A43032" w:rsidR="00A43032" w:rsidP="004B0F07" w:rsidRDefault="00A43032" w14:paraId="01C91EA6" w14:textId="77777777">
            <w:pPr>
              <w:jc w:val="center"/>
              <w:rPr>
                <w:rFonts w:ascii="Franklin Gothic Book" w:hAnsi="Franklin Gothic Book" w:eastAsia="Times New Roman" w:cs="Times New Roman"/>
                <w:b/>
                <w:sz w:val="24"/>
                <w:szCs w:val="24"/>
              </w:rPr>
            </w:pPr>
            <w:r w:rsidRPr="00A43032">
              <w:rPr>
                <w:rFonts w:ascii="Franklin Gothic Book" w:hAnsi="Franklin Gothic Book" w:eastAsia="Times New Roman" w:cs="Times New Roman"/>
                <w:b/>
                <w:color w:val="000000"/>
                <w:sz w:val="24"/>
                <w:szCs w:val="24"/>
                <w:highlight w:val="white"/>
              </w:rPr>
              <w:t xml:space="preserve">Implementation </w:t>
            </w:r>
          </w:p>
        </w:tc>
        <w:tc>
          <w:tcPr>
            <w:tcW w:w="7290" w:type="dxa"/>
            <w:tcMar/>
          </w:tcPr>
          <w:p w:rsidRPr="00A43032" w:rsidR="00A43032" w:rsidP="004B0F07" w:rsidRDefault="00A43032" w14:paraId="1BA989BE" w14:textId="323A0AE3">
            <w:pPr>
              <w:pBdr>
                <w:top w:val="nil"/>
                <w:left w:val="nil"/>
                <w:bottom w:val="nil"/>
                <w:right w:val="nil"/>
                <w:between w:val="nil"/>
              </w:pBdr>
              <w:rPr>
                <w:rFonts w:ascii="Franklin Gothic Book" w:hAnsi="Franklin Gothic Book" w:eastAsia="Times New Roman" w:cs="Times New Roman"/>
                <w:color w:val="000000"/>
                <w:sz w:val="24"/>
                <w:szCs w:val="24"/>
                <w:highlight w:val="white"/>
              </w:rPr>
            </w:pPr>
            <w:r w:rsidRPr="007FBC94" w:rsidR="00A43032">
              <w:rPr>
                <w:rFonts w:ascii="Franklin Gothic Book" w:hAnsi="Franklin Gothic Book" w:eastAsia="Times New Roman" w:cs="Times New Roman"/>
                <w:b w:val="1"/>
                <w:bCs w:val="1"/>
                <w:i w:val="1"/>
                <w:iCs w:val="1"/>
                <w:color w:val="000000" w:themeColor="text1" w:themeTint="FF" w:themeShade="FF"/>
                <w:sz w:val="24"/>
                <w:szCs w:val="24"/>
                <w:highlight w:val="white"/>
              </w:rPr>
              <w:t>Fidelity:</w:t>
            </w:r>
            <w:r w:rsidRPr="007FBC94" w:rsidR="00A43032">
              <w:rPr>
                <w:rFonts w:ascii="Franklin Gothic Book" w:hAnsi="Franklin Gothic Book" w:eastAsia="Times New Roman" w:cs="Times New Roman"/>
                <w:color w:val="000000" w:themeColor="text1" w:themeTint="FF" w:themeShade="FF"/>
                <w:sz w:val="24"/>
                <w:szCs w:val="24"/>
                <w:highlight w:val="white"/>
              </w:rPr>
              <w:t xml:space="preserve"> Childcare providers have reported that the intervention was feasible</w:t>
            </w:r>
            <w:r w:rsidRPr="007FBC94" w:rsidR="301D65C8">
              <w:rPr>
                <w:rFonts w:ascii="Franklin Gothic Book" w:hAnsi="Franklin Gothic Book" w:eastAsia="Times New Roman" w:cs="Times New Roman"/>
                <w:color w:val="000000" w:themeColor="text1" w:themeTint="FF" w:themeShade="FF"/>
                <w:sz w:val="24"/>
                <w:szCs w:val="24"/>
                <w:highlight w:val="white"/>
              </w:rPr>
              <w:t xml:space="preserve"> and </w:t>
            </w:r>
            <w:r w:rsidRPr="007FBC94" w:rsidR="00A43032">
              <w:rPr>
                <w:rFonts w:ascii="Franklin Gothic Book" w:hAnsi="Franklin Gothic Book" w:eastAsia="Times New Roman" w:cs="Times New Roman"/>
                <w:color w:val="000000" w:themeColor="text1" w:themeTint="FF" w:themeShade="FF"/>
                <w:sz w:val="24"/>
                <w:szCs w:val="24"/>
                <w:highlight w:val="white"/>
              </w:rPr>
              <w:t>acceptable and was implemented as planned. NAPSACC has been successfully implemented in multiple state</w:t>
            </w:r>
            <w:r w:rsidRPr="007FBC94" w:rsidR="02054383">
              <w:rPr>
                <w:rFonts w:ascii="Franklin Gothic Book" w:hAnsi="Franklin Gothic Book" w:eastAsia="Times New Roman" w:cs="Times New Roman"/>
                <w:color w:val="000000" w:themeColor="text1" w:themeTint="FF" w:themeShade="FF"/>
                <w:sz w:val="24"/>
                <w:szCs w:val="24"/>
                <w:highlight w:val="white"/>
              </w:rPr>
              <w:t>s</w:t>
            </w:r>
            <w:r w:rsidRPr="007FBC94" w:rsidR="00A43032">
              <w:rPr>
                <w:rFonts w:ascii="Franklin Gothic Book" w:hAnsi="Franklin Gothic Book" w:eastAsia="Times New Roman" w:cs="Times New Roman"/>
                <w:color w:val="000000" w:themeColor="text1" w:themeTint="FF" w:themeShade="FF"/>
                <w:sz w:val="24"/>
                <w:szCs w:val="24"/>
                <w:highlight w:val="white"/>
              </w:rPr>
              <w:t xml:space="preserve"> and countries. </w:t>
            </w:r>
          </w:p>
          <w:p w:rsidRPr="00A43032" w:rsidR="00A43032" w:rsidP="004B0F07" w:rsidRDefault="00A43032" w14:paraId="521603C9" w14:textId="77777777">
            <w:pPr>
              <w:pBdr>
                <w:top w:val="nil"/>
                <w:left w:val="nil"/>
                <w:bottom w:val="nil"/>
                <w:right w:val="nil"/>
                <w:between w:val="nil"/>
              </w:pBdr>
              <w:rPr>
                <w:rFonts w:ascii="Franklin Gothic Book" w:hAnsi="Franklin Gothic Book" w:eastAsia="Times New Roman" w:cs="Times New Roman"/>
                <w:color w:val="000000"/>
                <w:sz w:val="24"/>
                <w:szCs w:val="24"/>
                <w:highlight w:val="white"/>
              </w:rPr>
            </w:pPr>
          </w:p>
          <w:p w:rsidRPr="00A43032" w:rsidR="00A43032" w:rsidP="004B0F07" w:rsidRDefault="00A43032" w14:paraId="319C049F" w14:textId="77777777">
            <w:pPr>
              <w:pBdr>
                <w:top w:val="nil"/>
                <w:left w:val="nil"/>
                <w:bottom w:val="nil"/>
                <w:right w:val="nil"/>
                <w:between w:val="nil"/>
              </w:pBdr>
              <w:rPr>
                <w:rFonts w:ascii="Franklin Gothic Book" w:hAnsi="Franklin Gothic Book" w:eastAsia="Times New Roman" w:cs="Times New Roman"/>
                <w:b/>
                <w:color w:val="000000"/>
                <w:sz w:val="24"/>
                <w:szCs w:val="24"/>
                <w:highlight w:val="white"/>
              </w:rPr>
            </w:pPr>
            <w:r w:rsidRPr="00A43032">
              <w:rPr>
                <w:rFonts w:ascii="Franklin Gothic Book" w:hAnsi="Franklin Gothic Book" w:eastAsia="Times New Roman" w:cs="Times New Roman"/>
                <w:b/>
                <w:i/>
                <w:color w:val="000000"/>
                <w:sz w:val="24"/>
                <w:szCs w:val="24"/>
                <w:highlight w:val="white"/>
              </w:rPr>
              <w:t xml:space="preserve">Costs </w:t>
            </w:r>
            <w:r w:rsidRPr="00A43032">
              <w:rPr>
                <w:rFonts w:ascii="Franklin Gothic Book" w:hAnsi="Franklin Gothic Book" w:eastAsia="Times New Roman" w:cs="Times New Roman"/>
                <w:color w:val="000000"/>
                <w:sz w:val="24"/>
                <w:szCs w:val="24"/>
                <w:highlight w:val="white"/>
              </w:rPr>
              <w:t xml:space="preserve">to implement NAPSACC include: </w:t>
            </w:r>
          </w:p>
          <w:p w:rsidRPr="00A43032" w:rsidR="00A43032" w:rsidP="004B0F07" w:rsidRDefault="00A43032" w14:paraId="496A0FFE" w14:textId="77777777">
            <w:pPr>
              <w:numPr>
                <w:ilvl w:val="0"/>
                <w:numId w:val="4"/>
              </w:numPr>
              <w:pBdr>
                <w:top w:val="nil"/>
                <w:left w:val="nil"/>
                <w:bottom w:val="nil"/>
                <w:right w:val="nil"/>
                <w:between w:val="nil"/>
              </w:pBdr>
              <w:spacing w:after="0" w:line="256" w:lineRule="auto"/>
              <w:ind w:left="166" w:hanging="166"/>
              <w:rPr>
                <w:rFonts w:ascii="Franklin Gothic Book" w:hAnsi="Franklin Gothic Book" w:eastAsia="Times New Roman" w:cs="Times New Roman"/>
                <w:color w:val="000000"/>
                <w:sz w:val="24"/>
                <w:szCs w:val="24"/>
                <w:highlight w:val="white"/>
              </w:rPr>
            </w:pPr>
            <w:r w:rsidRPr="00A43032">
              <w:rPr>
                <w:rFonts w:ascii="Franklin Gothic Book" w:hAnsi="Franklin Gothic Book" w:eastAsia="Times New Roman" w:cs="Times New Roman"/>
                <w:color w:val="000000"/>
                <w:sz w:val="24"/>
                <w:szCs w:val="24"/>
                <w:highlight w:val="white"/>
              </w:rPr>
              <w:t xml:space="preserve">Staff – A healthcare professional (consultant) working 1.5 hours per week over a 6-month period is required for each facility in the program. The consultant should attend a virtual, 4-hour training. </w:t>
            </w:r>
          </w:p>
          <w:p w:rsidRPr="00A43032" w:rsidR="00A43032" w:rsidP="004B0F07" w:rsidRDefault="00A43032" w14:paraId="04F46103" w14:textId="77777777">
            <w:pPr>
              <w:numPr>
                <w:ilvl w:val="0"/>
                <w:numId w:val="4"/>
              </w:numPr>
              <w:pBdr>
                <w:top w:val="nil"/>
                <w:left w:val="nil"/>
                <w:bottom w:val="nil"/>
                <w:right w:val="nil"/>
                <w:between w:val="nil"/>
              </w:pBdr>
              <w:spacing w:line="256" w:lineRule="auto"/>
              <w:ind w:left="166" w:hanging="166"/>
              <w:rPr>
                <w:rFonts w:ascii="Franklin Gothic Book" w:hAnsi="Franklin Gothic Book" w:eastAsia="Times New Roman" w:cs="Times New Roman"/>
                <w:color w:val="000000"/>
                <w:sz w:val="24"/>
                <w:szCs w:val="24"/>
                <w:highlight w:val="white"/>
              </w:rPr>
            </w:pPr>
            <w:r w:rsidRPr="00A43032">
              <w:rPr>
                <w:rFonts w:ascii="Franklin Gothic Book" w:hAnsi="Franklin Gothic Book" w:eastAsia="Times New Roman" w:cs="Times New Roman"/>
                <w:color w:val="000000"/>
                <w:sz w:val="24"/>
                <w:szCs w:val="24"/>
                <w:highlight w:val="white"/>
              </w:rPr>
              <w:t xml:space="preserve">Materials – One tool kit is needed per consultant; material costs per tool kit are approximately $30. Costs of printing additional handouts and brochures should be included. Other costs include a laptop, projector, incentives for childcare facilities (i.e., books, classroom supplies), and mileage reimbursement. </w:t>
            </w:r>
          </w:p>
          <w:p w:rsidRPr="00A43032" w:rsidR="00A43032" w:rsidP="004B0F07" w:rsidRDefault="00A43032" w14:paraId="2E3A6C7C" w14:textId="77777777">
            <w:pPr>
              <w:pBdr>
                <w:top w:val="nil"/>
                <w:left w:val="nil"/>
                <w:bottom w:val="nil"/>
                <w:right w:val="nil"/>
                <w:between w:val="nil"/>
              </w:pBdr>
              <w:rPr>
                <w:rFonts w:ascii="Franklin Gothic Book" w:hAnsi="Franklin Gothic Book" w:eastAsia="Times New Roman" w:cs="Times New Roman"/>
                <w:color w:val="000000"/>
                <w:sz w:val="24"/>
                <w:szCs w:val="24"/>
                <w:highlight w:val="white"/>
              </w:rPr>
            </w:pPr>
          </w:p>
          <w:p w:rsidRPr="00A43032" w:rsidR="00A43032" w:rsidP="004B0F07" w:rsidRDefault="00A43032" w14:paraId="126093F6" w14:textId="77777777">
            <w:pPr>
              <w:pBdr>
                <w:top w:val="nil"/>
                <w:left w:val="nil"/>
                <w:bottom w:val="nil"/>
                <w:right w:val="nil"/>
                <w:between w:val="nil"/>
              </w:pBdr>
              <w:rPr>
                <w:rFonts w:ascii="Franklin Gothic Book" w:hAnsi="Franklin Gothic Book" w:eastAsia="Times New Roman" w:cs="Times New Roman"/>
                <w:color w:val="000000"/>
                <w:sz w:val="24"/>
                <w:szCs w:val="24"/>
                <w:highlight w:val="white"/>
              </w:rPr>
            </w:pPr>
            <w:r w:rsidRPr="00A43032">
              <w:rPr>
                <w:rFonts w:ascii="Franklin Gothic Book" w:hAnsi="Franklin Gothic Book" w:eastAsia="Times New Roman" w:cs="Times New Roman"/>
                <w:b/>
                <w:i/>
                <w:color w:val="000000"/>
                <w:sz w:val="24"/>
                <w:szCs w:val="24"/>
                <w:highlight w:val="white"/>
              </w:rPr>
              <w:t>Readiness for use</w:t>
            </w:r>
            <w:r w:rsidRPr="00A43032">
              <w:rPr>
                <w:rFonts w:ascii="Franklin Gothic Book" w:hAnsi="Franklin Gothic Book" w:eastAsia="Times New Roman" w:cs="Times New Roman"/>
                <w:b/>
                <w:color w:val="000000"/>
                <w:sz w:val="24"/>
                <w:szCs w:val="24"/>
                <w:highlight w:val="white"/>
              </w:rPr>
              <w:t>:</w:t>
            </w:r>
            <w:r w:rsidRPr="00A43032">
              <w:rPr>
                <w:rFonts w:ascii="Franklin Gothic Book" w:hAnsi="Franklin Gothic Book" w:eastAsia="Times New Roman" w:cs="Times New Roman"/>
                <w:color w:val="000000"/>
                <w:sz w:val="24"/>
                <w:szCs w:val="24"/>
                <w:highlight w:val="white"/>
              </w:rPr>
              <w:t xml:space="preserve"> NAPSACC provides ready-to-use intervention materials and technical support. </w:t>
            </w:r>
          </w:p>
        </w:tc>
      </w:tr>
      <w:tr w:rsidRPr="00A43032" w:rsidR="00A43032" w:rsidTr="007FBC94" w14:paraId="2F9FB81C" w14:textId="77777777">
        <w:trPr>
          <w:trHeight w:val="620"/>
        </w:trPr>
        <w:tc>
          <w:tcPr>
            <w:tcW w:w="3505" w:type="dxa"/>
            <w:tcBorders>
              <w:bottom w:val="single" w:color="000000" w:themeColor="text1" w:sz="4" w:space="0"/>
            </w:tcBorders>
            <w:tcMar/>
            <w:vAlign w:val="center"/>
          </w:tcPr>
          <w:p w:rsidRPr="00A43032" w:rsidR="00A43032" w:rsidP="004B0F07" w:rsidRDefault="00A43032" w14:paraId="4016BD90" w14:textId="77777777">
            <w:pPr>
              <w:jc w:val="center"/>
              <w:rPr>
                <w:rFonts w:ascii="Franklin Gothic Book" w:hAnsi="Franklin Gothic Book" w:eastAsia="Times New Roman" w:cs="Times New Roman"/>
                <w:b/>
                <w:color w:val="000000"/>
                <w:sz w:val="24"/>
                <w:szCs w:val="24"/>
                <w:highlight w:val="white"/>
              </w:rPr>
            </w:pPr>
            <w:r w:rsidRPr="00A43032">
              <w:rPr>
                <w:rFonts w:ascii="Franklin Gothic Book" w:hAnsi="Franklin Gothic Book" w:eastAsia="Times New Roman" w:cs="Times New Roman"/>
                <w:b/>
                <w:color w:val="000000"/>
                <w:sz w:val="24"/>
                <w:szCs w:val="24"/>
                <w:highlight w:val="white"/>
              </w:rPr>
              <w:t>Maintenance</w:t>
            </w:r>
          </w:p>
        </w:tc>
        <w:tc>
          <w:tcPr>
            <w:tcW w:w="7290" w:type="dxa"/>
            <w:tcBorders>
              <w:bottom w:val="single" w:color="000000" w:themeColor="text1" w:sz="4" w:space="0"/>
            </w:tcBorders>
            <w:tcMar/>
          </w:tcPr>
          <w:p w:rsidRPr="00A43032" w:rsidR="00A43032" w:rsidP="004B0F07" w:rsidRDefault="00A43032" w14:paraId="43730BFD" w14:textId="77777777">
            <w:pPr>
              <w:rPr>
                <w:rFonts w:ascii="Franklin Gothic Book" w:hAnsi="Franklin Gothic Book" w:eastAsia="Times New Roman" w:cs="Times New Roman"/>
                <w:sz w:val="24"/>
                <w:szCs w:val="24"/>
              </w:rPr>
            </w:pPr>
            <w:r w:rsidRPr="00A43032">
              <w:rPr>
                <w:rFonts w:ascii="Franklin Gothic Book" w:hAnsi="Franklin Gothic Book" w:eastAsia="Times New Roman" w:cs="Times New Roman"/>
                <w:sz w:val="24"/>
                <w:szCs w:val="24"/>
              </w:rPr>
              <w:t>No information is available on whether day cares have maintained NAPSACC.</w:t>
            </w:r>
          </w:p>
        </w:tc>
      </w:tr>
      <w:tr w:rsidRPr="00A43032" w:rsidR="00A43032" w:rsidTr="007FBC94" w14:paraId="445D8C8F" w14:textId="77777777">
        <w:trPr>
          <w:trHeight w:val="620"/>
        </w:trPr>
        <w:tc>
          <w:tcPr>
            <w:tcW w:w="10795" w:type="dxa"/>
            <w:gridSpan w:val="2"/>
            <w:tcBorders>
              <w:left w:val="nil"/>
              <w:bottom w:val="nil"/>
              <w:right w:val="nil"/>
            </w:tcBorders>
            <w:tcMar/>
            <w:vAlign w:val="center"/>
          </w:tcPr>
          <w:p w:rsidRPr="00A43032" w:rsidR="00A43032" w:rsidP="004B0F07" w:rsidRDefault="00A43032" w14:paraId="1D66E3CA" w14:textId="77777777">
            <w:pPr>
              <w:spacing w:after="60" w:line="240" w:lineRule="auto"/>
              <w:rPr>
                <w:rFonts w:ascii="Franklin Gothic Book" w:hAnsi="Franklin Gothic Book" w:eastAsia="Times New Roman" w:cs="Times New Roman"/>
                <w:sz w:val="18"/>
                <w:szCs w:val="18"/>
              </w:rPr>
            </w:pPr>
            <w:r w:rsidRPr="00A43032">
              <w:rPr>
                <w:rFonts w:ascii="Franklin Gothic Book" w:hAnsi="Franklin Gothic Book" w:eastAsia="Times New Roman" w:cs="Times New Roman"/>
                <w:sz w:val="18"/>
                <w:szCs w:val="18"/>
              </w:rPr>
              <w:t xml:space="preserve">Abbreviations: NAPSACC, Nutrition and Physical Activity Self-Assessment for Child Care; RE-AIM, Reach, Effectiveness, Adoption, Implementation and Maintenance. </w:t>
            </w:r>
          </w:p>
          <w:p w:rsidRPr="00A43032" w:rsidR="00A43032" w:rsidP="004B0F07" w:rsidRDefault="00A43032" w14:paraId="0F3D7927" w14:textId="77777777">
            <w:pPr>
              <w:spacing w:after="60" w:line="240" w:lineRule="auto"/>
              <w:rPr>
                <w:rFonts w:ascii="Franklin Gothic Book" w:hAnsi="Franklin Gothic Book" w:eastAsia="Times New Roman" w:cs="Times New Roman"/>
                <w:sz w:val="24"/>
                <w:szCs w:val="24"/>
              </w:rPr>
            </w:pPr>
            <w:r w:rsidRPr="00A43032">
              <w:rPr>
                <w:rFonts w:ascii="Franklin Gothic Book" w:hAnsi="Franklin Gothic Book" w:eastAsia="Times New Roman" w:cs="Times New Roman"/>
                <w:sz w:val="18"/>
                <w:szCs w:val="18"/>
              </w:rPr>
              <w:t xml:space="preserve">Citations: </w:t>
            </w:r>
            <w:r w:rsidRPr="00A43032">
              <w:rPr>
                <w:rFonts w:ascii="Franklin Gothic Book" w:hAnsi="Franklin Gothic Book" w:eastAsia="Times New Roman" w:cs="Times New Roman"/>
                <w:sz w:val="18"/>
                <w:szCs w:val="18"/>
              </w:rPr>
              <w:fldChar w:fldCharType="begin" w:fldLock="1"/>
            </w:r>
            <w:r w:rsidRPr="00A43032">
              <w:rPr>
                <w:rFonts w:ascii="Franklin Gothic Book" w:hAnsi="Franklin Gothic Book" w:eastAsia="Times New Roman" w:cs="Times New Roman"/>
                <w:sz w:val="18"/>
                <w:szCs w:val="18"/>
              </w:rPr>
              <w:instrText>ADDIN CSL_CITATION {"citationItems":[{"id":"ITEM-1","itemData":{"DOI":"10.1186/1471-2458-14-215","ISSN":"1471-2458","abstract":"To address the public health crisis of overweight and obese preschool-age children, the Nutrition And Physical Activity Self Assessment for Child Care (NAP SACC) intervention was delivered by nurse child care health consultants with the objective of improving child care provider and parent nutrition and physical activity knowledge, center-level nutrition and physical activity policies and practices, and children’s body mass index (BMI).","author":[{"dropping-particle":"","family":"Alkon","given":"Abbey","non-dropping-particle":"","parse-names":false,"suffix":""},{"dropping-particle":"","family":"Crowley","given":"Angela A","non-dropping-particle":"","parse-names":false,"suffix":""},{"dropping-particle":"","family":"Neelon","given":"Sara E Benjamin","non-dropping-particle":"","parse-names":false,"suffix":""},{"dropping-particle":"","family":"Hill","given":"Sherika","non-dropping-particle":"","parse-names":false,"suffix":""},{"dropping-particle":"","family":"Pan","given":"Yi","non-dropping-particle":"","parse-names":false,"suffix":""},{"dropping-particle":"","family":"Nguyen","given":"Viet","non-dropping-particle":"","parse-names":false,"suffix":""},{"dropping-particle":"","family":"Rose","given":"Roberta","non-dropping-particle":"","parse-names":false,"suffix":""},{"dropping-particle":"","family":"Savage","given":"Eric","non-dropping-particle":"","parse-names":false,"suffix":""},{"dropping-particle":"","family":"Forestieri","given":"Nina","non-dropping-particle":"","parse-names":false,"suffix":""},{"dropping-particle":"","family":"Shipman","given":"Linda","non-dropping-particle":"","parse-names":false,"suffix":""},{"dropping-particle":"","family":"Kotch","given":"Jonathan B","non-dropping-particle":"","parse-names":false,"suffix":""}],"container-title":"BMC Public Health","id":"ITEM-1","issue":"1","issued":{"date-parts":[["2014"]]},"page":"215","title":"Nutrition and physical activity randomized control trial in child care centers improves knowledge, policies, and children’s body mass index","type":"article-journal","volume":"14"},"uris":["http://www.mendeley.com/documents/?uuid=4e88aae9-270d-4b11-968b-abaa3f311087"]},{"id":"ITEM-2","itemData":{"DOI":"10.1016/j.ypmed.2014.01.022","ISSN":"10960260","abstract":"Objective: To determine if child care centers in rural, Western North Carolina met recommendations for nutrition and physical activity, if focusing on nutrition and physical activity practices and policies was effective in improving the center environment, and if differences existed between centers affiliated or unaffiliated with schools. Methods: Of 33 child care centers in three counties, 29 submitted mini-grant requests and participated in a pre-post evaluation using Nutrition and Physical Activity Self-Assessment for Child Care (NAP SACC). NAP SACC assesses compliance for nutrition and physical activity recommendations and standards. Between October 2011 and April 2012, centers participated in workshops and goal setting specific to nutrition and physical activity. Results: At baseline, over 95% of the centers met all recommendations. However, post-intervention, Wilcoxon Signed Ranks Test (p. &lt;. 0.05) indicated significant improvement across center types in five out of 37 nutrition and seven out of 17 physical activity standards following the intervention. Centers unaffiliated with schools made significant changes in ten nutrition standards, while those affiliated with schools improved in only two standards and decreased on one standard. Conclusion: Overall, rural child care centers in Western North Carolina were meeting standards, they were still able to strengthen policies and practices by following NAP SACC. This was especially true for centers unaffiliated with schools. Continued financial support may assist centers in sustaining increased physical activity in children. •We evaluated child care centers located in a rural environment.•We examine changes in nutrition and physical activity environments in childcare.•Most child care centers are meeting expectations for nutrition and physical activity.•Providing resources enhances nutrition and physical activity practices in childcare.","author":[{"dropping-particle":"","family":"Battista","given":"Rebecca A.","non-dropping-particle":"","parse-names":false,"suffix":""},{"dropping-particle":"","family":"Oakley","given":"Hillary","non-dropping-particle":"","parse-names":false,"suffix":""},{"dropping-particle":"","family":"Weddell","given":"Melissa S.","non-dropping-particle":"","parse-names":false,"suffix":""},{"dropping-particle":"","family":"Mudd","given":"Lanay M.","non-dropping-particle":"","parse-names":false,"suffix":""},{"dropping-particle":"","family":"Greene","given":"J. B.","non-dropping-particle":"","parse-names":false,"suffix":""},{"dropping-particle":"","family":"West","given":"Stephanie T.","non-dropping-particle":"","parse-names":false,"suffix":""}],"container-title":"Preventive Medicine","id":"ITEM-2","issue":"S1","issued":{"date-parts":[["2014"]]},"title":"Improving the physical activity and nutrition environment through self-assessment (NAP SACC) in rural area child care centers in North Carolina","type":"article-journal","volume":"67"},"uris":["http://www.mendeley.com/documents/?uuid=bb9a826e-54e1-375c-9a71-d9d4abe61462"]},{"id":"ITEM-3","itemData":{"DOI":"10.1186/1479-5868-4-29","ISSN":"14795868","abstract":"Background: Few assessment instruments have examined the nutrition and physical activity environments in child care, and none are self-administered. Given the emerging focus on child care settings as a target for intervention, a valid and reliable measure of the nutrition and physical activity environment is needed. Methods: To measure inter-rater reliability, 59 child care center directors and 109 staff completed the self-assessment concurrently, but independently. Three weeks later, a repeat self-assessment was completed by a sub-sample of 38 directors to assess test-retest reliability. To assess criterion validity, a researcher-administered environmental assessment was conducted at 69 centers and was compared to a self-assessment completed by the director. A weighted kappa test statistic and percent agreement were calculated to assess agreement for each question on the self-assessment. Results: For inter-rater reliability, kappa statistics ranged from 0.20 to 1.00 across all questions. Test-retest reliability of the self-assessment yielded kappa statistics that ranged from 0.07 to 1.00. The inter-quartile kappa statistic ranges for inter-rater and test-retest reliability were 0.45 to 0.63 and 0.27 to 0.45, respectively. When percent agreement was calculated, questions ranged from 52.6% to 100% for inter-rater reliability and 34.3% to 100% for test-retest reliability. Kappa statistics for validity ranged from -0.01 to 0.79, with an inter-quartile range of 0.08 to 0.34. Percent agreement for validity ranged from 12.9% to 93.7%. Conclusion: This study provides estimates of criterion validity, inter-rater reliability and test-retest reliability for an environmental nutrition and physical activity self-assessment instrument for child care. Results indicate that the self-assessment is a stable and reasonably accurate instrument for use with child care interventions. We therefore recommend the Nutrition and Physical Activity Self-Assessment for Child Care (NAP SACC) instrument to researchers and practitioners interested in conducting healthy weight intervention in child care. However, a more robust, less subjective measure would be more appropriate for researchers seeking an outcome measure to assess intervention impact. © 2007 Benjamin et al; licensee BioMed Central Ltd.","author":[{"dropping-particle":"","family":"Benjamin","given":"Sara E.","non-dropping-particle":"","parse-names":false,"suffix":""},{"dropping-particle":"","family":"Neelon","given":"Brian","non-dropping-particle":"","parse-names":false,"suffix":""},{"dropping-particle":"","family":"Ball","given":"Sarah C.","non-dropping-particle":"","parse-names":false,"suffix":""},{"dropping-particle":"","family":"Bangdiwala","given":"Shrikant I.","non-dropping-particle":"","parse-names":false,"suffix":""},{"dropping-particle":"","family":"Ammerman","given":"Alice S.","non-dropping-particle":"","parse-names":false,"suffix":""},{"dropping-particle":"","family":"Ward","given":"Dianne S.","non-dropping-particle":"","parse-names":false,"suffix":""}],"container-title":"International Journal of Behavioral Nutrition and Physical Activity","id":"ITEM-3","issued":{"date-parts":[["2007"]]},"title":"Reliability and validity of a nutrition and physical activity environmental self-assessment for child care","type":"article-journal","volume":"4"},"uris":["http://www.mendeley.com/documents/?uuid=390488c9-1766-3a41-81fc-6fef49435e6c"]},{"id":"ITEM-4","itemData":{"DOI":"10.1089/chi.2014.0040","ISSN":"21532176","abstract":"Background: The aim of the study was to objectively determine whether the Nutrition and Physical Activity Self-Assessment for Child Care (NAP SACC) program improved physical activity levels during the school day. Methods: The study compared the physical activity levels of subjects from 26 daycare centers, randomized into treatment (N=13) and control (N=13) groups. The subjects were 3 to 5 year olds (N=209, 104 males and 105 females; age [years]=3.85±0.8 [mean±standard deviation]), and accelerometry was used to determine the subjects' physical activity levels. Accelerometers were attached to each subject for 2 days before and immediately after a 6-month intervention. Height, mass, and waist were also measured. Results: Regression analyses indicated that the treatment group demonstrated significant increases in moderate and vigorous physical activity, as compared to the control group (F(1, 207)=6.3, p&lt;0.05, Cohen's d=0.30; F(1, 207)=4.7, p&lt;0.05, Cohen's d=0.25, respectively). The treatment group also showed significant increases in total physical activity (F(1, 218)=12.4; p&lt;0.05) from pre- to post-test with significant increases in moderate and vigorous intensity physical activity (F(1, 218)=18.6, p&lt;0.05; F(1, 218)=23.3, p&lt;0.05, respectively). Regression analyses revealed significant increases in height for both groups from pre- to post-tests, but no differences were noted between groups. Conclusions: Implementation of the NAP SACC program in treatment daycare facilities resulted in significant increases in objectively measured physical activity levels, compared to the control group, demonstrating physical activity improvement in the treatment daycare centers. © Copyright 2014, Mary Ann Liebert, Inc. 2014.","author":[{"dropping-particle":"","family":"Bonis","given":"Marc","non-dropping-particle":"","parse-names":false,"suffix":""},{"dropping-particle":"","family":"Loftin","given":"Mark","non-dropping-particle":"","parse-names":false,"suffix":""},{"dropping-particle":"","family":"Ward","given":"Dianne","non-dropping-particle":"","parse-names":false,"suffix":""},{"dropping-particle":"","family":"Tseng","given":"Tung Sung","non-dropping-particle":"","parse-names":false,"suffix":""},{"dropping-particle":"","family":"Clesi","given":"Ann","non-dropping-particle":"","parse-names":false,"suffix":""},{"dropping-particle":"","family":"Sothern","given":"Melinda","non-dropping-particle":"","parse-names":false,"suffix":""}],"container-title":"Childhood Obesity","id":"ITEM-4","issue":"4","issued":{"date-parts":[["2014"]]},"title":"Improving physical activity in daycare interventions","type":"article-journal","volume":"10"},"uris":["http://www.mendeley.com/documents/?uuid=e8916e9b-5dac-3528-876b-dc98038d8753"]},{"id":"ITEM-5","itemData":{"DOI":"10.1186/s12889-019-7102-9","ISSN":"14712458","abstract":"Background: The nutrition and physical activity self-assessment for childcare (NAP SACC) intervention has demonstrated effectiveness in the USA. A feasibility randomised controlled trial was conducted in England to adapt the intervention to the UK context. An embedded process evaluation focused on three key questions. 1. Was it feasible and acceptable to implement the intervention as planned? 2. How did the intervention affect staff and parent mediators? 3. Were the trial design and methods acceptable? Methods: Twelve nurseries in south-west England were recruited and randomised to intervention or control. The intervention comprised: NAP SACC UK Partner (Health Visitor) support to nurseries to review practice and policies against best practice, and then set goals to improve physical activity, nutrition and oral health; two staff training workshops; and a web-based parent support element. The process evaluation comprised: observations of Partner training (n = 1), Partner/manager meetings (n = 5) and staff workshops (n = 10); semi-structured interviews with Partners (n = 4), managers (n = 12), staff (n = 4) and parents (n = 20); analysis of self-assessment forms, goal setting forms and Partner logbooks; and assessment of staff and parent knowledge, motivation and self-efficacy mediators. Results: Overall, NAP SACC UK was feasible to implement and acceptable to nursery staff, managers, Partners and parents. The intervention was implemented as planned in five of the six intervention nurseries. Partners and managers appreciated the opportunity to review and improve nursery practices and valued the relationship forged between them. Staff rated the training workshops highly, despite attending outside of working hours. Most goals set by nurseries were achieved. However, Partners raised concerns about Health Visitors' capacity to deliver the intervention in any subsequent roll out. Mediator scores improved in all but two areas in intervention staff and parents, with decreases or minimal changes in the control group. The web-based parent element was not well used and should be removed from any subsequent trial. The trial methods were acceptable to managers, staff, Partners and parents. Conclusions: Implementing and evaluating a physical activity and nutrition intervention in nursery settings is feasible and acceptable. A full RCT of NAP SACC UK (with appropriate modifications) is warranted. Trial registration: ISRCTN16287377 (10 Apr 2015).","author":[{"dropping-particle":"","family":"Langford","given":"Rebecca","non-dropping-particle":"","parse-names":false,"suffix":""},{"dropping-particle":"","family":"Jago","given":"Russell","non-dropping-particle":"","parse-names":false,"suffix":""},{"dropping-particle":"","family":"White","given":"James","non-dropping-particle":"","parse-names":false,"suffix":""},{"dropping-particle":"","family":"Moore","given":"Laurence","non-dropping-particle":"","parse-names":false,"suffix":""},{"dropping-particle":"","family":"Papadaki","given":"Angeliki","non-dropping-particle":"","parse-names":false,"suffix":""},{"dropping-particle":"","family":"Hollingworth","given":"William","non-dropping-particle":"","parse-names":false,"suffix":""},{"dropping-particle":"","family":"Metcalfe","given":"Chris","non-dropping-particle":"","parse-names":false,"suffix":""},{"dropping-particle":"","family":"Ward","given":"Dianne","non-dropping-particle":"","parse-names":false,"suffix":""},{"dropping-particle":"","family":"Campbell","given":"Rona","non-dropping-particle":"","parse-names":false,"suffix":""},{"dropping-particle":"","family":"Wells","given":"Sian","non-dropping-particle":"","parse-names":false,"suffix":""},{"dropping-particle":"","family":"Kipping","given":"Ruth","non-dropping-particle":"","parse-names":false,"suffix":""}],"container-title":"BMC Public Health","id":"ITEM-5","issue":"1","issued":{"date-parts":[["2019"]]},"title":"A physical activity, nutrition and oral health intervention in nursery settings: Process evaluation of the NAP SACC UK feasibility cluster RCT","type":"article-journal","volume":"19"},"uris":["http://www.mendeley.com/documents/?uuid=933d9d65-0530-3c23-860a-cdec92abb96d"]},{"id":"ITEM-6","itemData":{"DOI":"10.17269/s41997-020-00404-4","ISSN":"19207476","abstract":"Objectives: Childcare centres are an important setting for young children to engage in outdoor play. The objectives for this study were to (1) determine the average outdoor play duration and frequency for toddlers (19–35 months) and preschoolers (36–60 months) in childcare centres, (2) determine if duration and frequency differed across winter (December–March) and non-winter (April–November) months, and (3) determine correlates of outdoor play duration and frequency. Methods: Childcare centre directors (n = 240) in Alberta, Canada, completed a questionnaire adapted from the Nutrition and Physical Activity Self-Assessment for Child Care (GO NAP SACC) Outdoor Play Tool that measured outdoor play separately for toddlers/preschoolers and winter/non-winter months. Consistent with the tool, centres were categorized as meeting or not meeting best practices for outdoor play duration and frequency. The questionnaire also measured demographic, socio-cultural, environmental, and policy correlates. Chi-squared tests and multiple logistic regression models were conducted. Results: More centres met the outdoor play duration and frequency best practices in non-winter than in winter months for toddlers (duration: 79.2% vs 24.9%; frequency: 11.4% vs 1.4%) and preschoolers (duration: 55.7% vs 14.6%; frequency: 20.2% vs 3.4%). Correlates of outdoor play duration and frequency varied across age groups and seasons. However, educator certification, educator professional development, and play areas were most consistent across final models. Conclusions: Findings from this study suggest correlates of outdoor play may differ across age groups and seasons. Interventions aimed at increasing outdoor play in childcare centres appear warranted, especially in winter months for northern locations.","author":[{"dropping-particle":"","family":"Predy","given":"Madison","non-dropping-particle":"","parse-names":false,"suffix":""},{"dropping-particle":"","family":"Holt","given":"Nick","non-dropping-particle":"","parse-names":false,"suffix":""},{"dropping-particle":"","family":"Carson","given":"Valerie","non-dropping-particle":"","parse-names":false,"suffix":""}],"container-title":"Canadian Journal of Public Health","id":"ITEM-6","issue":"2","issued":{"date-parts":[["2021"]]},"title":"Examining correlates of outdoor play in childcare centres","type":"article-journal","volume":"112"},"uris":["http://www.mendeley.com/documents/?uuid=569e0448-efb4-375f-b1dc-7ea668812eb3"]},{"id":"ITEM-7","itemData":{"DOI":"10.1016/j.amepre.2008.06.030","ISSN":"07493797","abstract":"Background: With evidence of increased levels of obesity in younger children, the child-care setting is an important intervention target. Few environmental interventions exist, and none target both diet and physical activity. The Nutrition and Physical Activity Self-Assessment for Child Care (NAP SACC) intervention was developed to fill this research and practice gap. Design: Randomized controlled. Setting/participants: Health professionals (child-care health consultants) serving child-care centers in North Carolina were recruited (n=30), randomly assigned into intervention or delayed-intervention control groups, and trained to implement the NAP SACC program. Up to three child-care centers were recruited (n=84) from each consultant's existing caseload. Intervention: Implemented in 2005, the NAP SACC intervention includes an environmental self-assessment, selection of areas for change, continuing education workshops, targeted technical assistance, and re-evaluation. Implementation occurred over a 6-month period. Main outcome measures: An observational instrument, Environment and Policy Assessment and Observation (EPAO), provided objective evidence of intervention impact and was completed by trained research staff blinded to study assignment. Data were collected in 2005 and 2006. Statistical analyses were conducted in 2006. Results: Intention-to-treat analysis results were nonsignificant. Exploratory analyses using only centers that completed most of the NAP SACC program suggest an intervention effect. Conclusions: Factors in the intervention design, the fidelity of implementation, the selection of outcome measure, or a combination of these may have contributed to the lack of intervention effect observed. Because of this study's use of existing public health infrastructure and its potential for implementation, future studies should address strategies for improving effectiveness. © 2008 American Journal of Preventive Medicine.","author":[{"dropping-particle":"","family":"Ward","given":"Dianne S.","non-dropping-particle":"","parse-names":false,"suffix":""},{"dropping-particle":"","family":"Benjamin","given":"Sara E.","non-dropping-particle":"","parse-names":false,"suffix":""},{"dropping-particle":"","family":"Ammerman","given":"Alice S.","non-dropping-particle":"","parse-names":false,"suffix":""},{"dropping-particle":"","family":"Ball","given":"Sarah C.","non-dropping-particle":"","parse-names":false,"suffix":""},{"dropping-particle":"","family":"Neelon","given":"Brian H.","non-dropping-particle":"","parse-names":false,"suffix":""},{"dropping-particle":"","family":"Bangdiwala","given":"Shrikant I.","non-dropping-particle":"","parse-names":false,"suffix":""}],"container-title":"American Journal of Preventive Medicine","id":"ITEM-7","issue":"4","issued":{"date-parts":[["2008"]]},"title":"Nutrition and Physical Activity in Child Care. Results from an Environmental Intervention","type":"article-journal","volume":"35"},"uris":["http://www.mendeley.com/documents/?uuid=03573b47-ea88-3fdc-8c49-d5830c50b2cf"]},{"id":"ITEM-8","itemData":{"DOI":"10.1016/j.ypmed.2016.09.033","ISSN":"10960260","abstract":"Time and place of study: 2010–2015; international Given the high levels of obesity in young children, numbers of children in out-of-home care, and data suggesting a link between early care and education (ECE) participation and overweight/obesity, obesity prevention in ECE settings is critical. As the field has progressed, a number of interventions have been reviewed yet there is a need to summarize the data using more sophisticated analyses to answer questions on the effectiveness of interventions. We conducted a systematic review of obesity prevention interventions in center-based ECE settings published between 2010 and 2015. Our goal was to identify promising intervention characteristics associated with successful behavioral and anthropometric outcomes. A rigorous search strategy resulted in 43 interventions that met inclusion criteria. We developed a coding strategy to assess intervention strength, used a validated study quality assessment tool, and presented detailed descriptive information about interventions (e.g., target behaviors, intervention strategies, and mode of delivery). Intervention strength was positively correlated with reporting of positive anthropometric outcomes for physical activity, diet, and combined interventions, and parent engagement components increased the strength of these relationships. Study quality was modestly related to percent successful healthy eating outcomes. Relationships between intervention strength and behavioral outcomes demonstrated negative relationships for all behavioral outcomes. Specific components of intervention strength (number of intervention strategies, potential impact of strategies, frequency of use, and duration of intervention) were correlated with some of the anthropometric and parent engagement outcomes. The review provided tentative evidence that multi-component, multi-level ECE interventions with parental engagement are most likely to be effective with anthropometric outcomes.","author":[{"dropping-particle":"","family":"Ward","given":"Dianne S.","non-dropping-particle":"","parse-names":false,"suffix":""},{"dropping-particle":"","family":"Welker","given":"Emily","non-dropping-particle":"","parse-names":false,"suffix":""},{"dropping-particle":"","family":"Choate","given":"Ashley","non-dropping-particle":"","parse-names":false,"suffix":""},{"dropping-particle":"","family":"Henderson","given":"Kathryn E.","non-dropping-particle":"","parse-names":false,"suffix":""},{"dropping-particle":"","family":"Lott","given":"Megan","non-dropping-particle":"","parse-names":false,"suffix":""},{"dropping-particle":"","family":"Tovar","given":"Alison","non-dropping-particle":"","parse-names":false,"suffix":""},{"dropping-particle":"","family":"Wilson","given":"Amanda","non-dropping-particle":"","parse-names":false,"suffix":""},{"dropping-particle":"","family":"Sallis","given":"James F.","non-dropping-particle":"","parse-names":false,"suffix":""}],"container-title":"Preventive Medicine","id":"ITEM-8","issued":{"date-parts":[["2017"]]},"title":"Strength of obesity prevention interventions in early care and education settings: A systematic review","type":"article-journal","volume":"95"},"uris":["http://www.mendeley.com/documents/?uuid=88075878-a74f-37a3-b8c4-cf4981daf374"]}],"mendeley":{"formattedCitation":"(Alkon et al., 2014; Battista et al., 2014; Benjamin et al., 2007; Bonis et al., 2014; Langford et al., 2019; Predy et al., 2021; Ward et al., 2008, 2017)","plainTextFormattedCitation":"(Alkon et al., 2014; Battista et al., 2014; Benjamin et al., 2007; Bonis et al., 2014; Langford et al., 2019; Predy et al., 2021; Ward et al., 2008, 2017)","previouslyFormattedCitation":"(Alkon et al., 2014; Battista et al., 2014; Benjamin et al., 2007; Bonis et al., 2014; Langford et al., 2019; Predy et al., 2021; Ward et al., 2008, 2017)"},"properties":{"noteIndex":0},"schema":"https://github.com/citation-style-language/schema/raw/master/csl-citation.json"}</w:instrText>
            </w:r>
            <w:r w:rsidRPr="00A43032">
              <w:rPr>
                <w:rFonts w:ascii="Franklin Gothic Book" w:hAnsi="Franklin Gothic Book" w:eastAsia="Times New Roman" w:cs="Times New Roman"/>
                <w:sz w:val="18"/>
                <w:szCs w:val="18"/>
              </w:rPr>
              <w:fldChar w:fldCharType="separate"/>
            </w:r>
            <w:r w:rsidRPr="00A43032">
              <w:rPr>
                <w:rFonts w:ascii="Franklin Gothic Book" w:hAnsi="Franklin Gothic Book" w:eastAsia="Times New Roman" w:cs="Times New Roman"/>
                <w:noProof/>
                <w:sz w:val="18"/>
                <w:szCs w:val="18"/>
              </w:rPr>
              <w:t>(Alkon et al., 2014; Battista et al., 2014; Benjamin et al., 2007; Bonis et al., 2014; Langford et al., 2019; Predy et al., 2021; Ward et al., 2008, 2017)</w:t>
            </w:r>
            <w:r w:rsidRPr="00A43032">
              <w:rPr>
                <w:rFonts w:ascii="Franklin Gothic Book" w:hAnsi="Franklin Gothic Book" w:eastAsia="Times New Roman" w:cs="Times New Roman"/>
                <w:sz w:val="18"/>
                <w:szCs w:val="18"/>
              </w:rPr>
              <w:fldChar w:fldCharType="end"/>
            </w:r>
            <w:r w:rsidRPr="00A43032">
              <w:rPr>
                <w:rFonts w:ascii="Franklin Gothic Book" w:hAnsi="Franklin Gothic Book" w:eastAsia="Times New Roman" w:cs="Times New Roman"/>
                <w:sz w:val="18"/>
                <w:szCs w:val="18"/>
              </w:rPr>
              <w:t xml:space="preserve"> </w:t>
            </w:r>
          </w:p>
        </w:tc>
      </w:tr>
    </w:tbl>
    <w:p w:rsidR="00A43032" w:rsidP="008202CC" w:rsidRDefault="00A43032" w14:paraId="36F62F7B" w14:textId="77777777">
      <w:pPr>
        <w:rPr>
          <w:rFonts w:ascii="Franklin Gothic Book" w:hAnsi="Franklin Gothic Book"/>
          <w:b/>
          <w:sz w:val="24"/>
          <w:szCs w:val="24"/>
        </w:rPr>
      </w:pPr>
    </w:p>
    <w:p w:rsidR="00D207A1" w:rsidP="008202CC" w:rsidRDefault="00D207A1" w14:paraId="69323BCE" w14:textId="77777777">
      <w:pPr>
        <w:rPr>
          <w:rFonts w:ascii="Franklin Gothic Book" w:hAnsi="Franklin Gothic Book"/>
          <w:b/>
          <w:sz w:val="24"/>
          <w:szCs w:val="24"/>
        </w:rPr>
      </w:pPr>
    </w:p>
    <w:p w:rsidR="00D207A1" w:rsidP="008202CC" w:rsidRDefault="00D207A1" w14:paraId="54944CE0" w14:textId="77777777">
      <w:pPr>
        <w:rPr>
          <w:rFonts w:ascii="Franklin Gothic Book" w:hAnsi="Franklin Gothic Book"/>
          <w:b/>
          <w:sz w:val="24"/>
          <w:szCs w:val="24"/>
        </w:rPr>
      </w:pPr>
    </w:p>
    <w:p w:rsidR="00D207A1" w:rsidP="008202CC" w:rsidRDefault="00D207A1" w14:paraId="789EAC4B" w14:textId="77777777">
      <w:pPr>
        <w:rPr>
          <w:rFonts w:ascii="Franklin Gothic Book" w:hAnsi="Franklin Gothic Book"/>
          <w:b/>
          <w:sz w:val="24"/>
          <w:szCs w:val="24"/>
        </w:rPr>
      </w:pPr>
    </w:p>
    <w:p w:rsidR="00D207A1" w:rsidP="008202CC" w:rsidRDefault="00D207A1" w14:paraId="39EA1E2F" w14:textId="77777777">
      <w:pPr>
        <w:rPr>
          <w:rFonts w:ascii="Franklin Gothic Book" w:hAnsi="Franklin Gothic Book"/>
          <w:b/>
          <w:sz w:val="24"/>
          <w:szCs w:val="24"/>
        </w:rPr>
      </w:pPr>
    </w:p>
    <w:p w:rsidR="00D207A1" w:rsidP="008202CC" w:rsidRDefault="00D207A1" w14:paraId="1508E969" w14:textId="77777777">
      <w:pPr>
        <w:rPr>
          <w:rFonts w:ascii="Franklin Gothic Book" w:hAnsi="Franklin Gothic Book"/>
          <w:b/>
          <w:sz w:val="24"/>
          <w:szCs w:val="24"/>
        </w:rPr>
      </w:pPr>
    </w:p>
    <w:p w:rsidR="00D207A1" w:rsidP="008202CC" w:rsidRDefault="00D207A1" w14:paraId="1ED10896" w14:textId="77777777">
      <w:pPr>
        <w:rPr>
          <w:rFonts w:ascii="Franklin Gothic Book" w:hAnsi="Franklin Gothic Book"/>
          <w:b/>
          <w:sz w:val="24"/>
          <w:szCs w:val="24"/>
        </w:rPr>
      </w:pPr>
    </w:p>
    <w:p w:rsidR="00D207A1" w:rsidP="008202CC" w:rsidRDefault="00D207A1" w14:paraId="30B96E36" w14:textId="77777777">
      <w:pPr>
        <w:rPr>
          <w:rFonts w:ascii="Franklin Gothic Book" w:hAnsi="Franklin Gothic Book"/>
          <w:b/>
          <w:sz w:val="24"/>
          <w:szCs w:val="24"/>
        </w:rPr>
      </w:pPr>
    </w:p>
    <w:p w:rsidR="00D207A1" w:rsidP="008202CC" w:rsidRDefault="00D207A1" w14:paraId="435F3271" w14:textId="77777777">
      <w:pPr>
        <w:rPr>
          <w:rFonts w:ascii="Franklin Gothic Book" w:hAnsi="Franklin Gothic Book"/>
          <w:b/>
          <w:sz w:val="24"/>
          <w:szCs w:val="24"/>
        </w:rPr>
      </w:pPr>
    </w:p>
    <w:p w:rsidR="00D207A1" w:rsidP="008202CC" w:rsidRDefault="00D207A1" w14:paraId="3943AF11" w14:textId="77777777">
      <w:pPr>
        <w:rPr>
          <w:rFonts w:ascii="Franklin Gothic Book" w:hAnsi="Franklin Gothic Book"/>
          <w:b/>
          <w:sz w:val="24"/>
          <w:szCs w:val="24"/>
        </w:rPr>
      </w:pPr>
    </w:p>
    <w:p w:rsidR="00D207A1" w:rsidP="008202CC" w:rsidRDefault="00D207A1" w14:paraId="3B72B801" w14:textId="77777777">
      <w:pPr>
        <w:rPr>
          <w:rFonts w:ascii="Franklin Gothic Book" w:hAnsi="Franklin Gothic Book"/>
          <w:b/>
          <w:sz w:val="24"/>
          <w:szCs w:val="24"/>
        </w:rPr>
      </w:pPr>
    </w:p>
    <w:p w:rsidRPr="00A43032" w:rsidR="008202CC" w:rsidP="008202CC" w:rsidRDefault="008202CC" w14:paraId="6A6C455C" w14:textId="3191A4F9">
      <w:pPr>
        <w:rPr>
          <w:rFonts w:ascii="Franklin Gothic Book" w:hAnsi="Franklin Gothic Book"/>
          <w:b/>
          <w:sz w:val="24"/>
          <w:szCs w:val="24"/>
        </w:rPr>
      </w:pPr>
      <w:r w:rsidRPr="00A43032">
        <w:rPr>
          <w:rFonts w:ascii="Franklin Gothic Book" w:hAnsi="Franklin Gothic Book"/>
          <w:b/>
          <w:sz w:val="24"/>
          <w:szCs w:val="24"/>
        </w:rPr>
        <w:t>Reach</w:t>
      </w:r>
    </w:p>
    <w:p w:rsidRPr="00A43032" w:rsidR="00A43032" w:rsidP="00A43032" w:rsidRDefault="008202CC" w14:paraId="7D332EA4" w14:textId="6449F7EE">
      <w:pPr>
        <w:numPr>
          <w:ilvl w:val="0"/>
          <w:numId w:val="1"/>
        </w:numPr>
        <w:rPr>
          <w:rFonts w:ascii="Franklin Gothic Book" w:hAnsi="Franklin Gothic Book"/>
          <w:sz w:val="24"/>
          <w:szCs w:val="24"/>
        </w:rPr>
      </w:pPr>
      <w:r w:rsidRPr="00A43032">
        <w:rPr>
          <w:rFonts w:ascii="Franklin Gothic Book" w:hAnsi="Franklin Gothic Book"/>
          <w:sz w:val="24"/>
          <w:szCs w:val="24"/>
        </w:rPr>
        <w:t>In prior studies of the intervention, did the EBI reach the intended population (Number who participated? Proportion of eligible population that participated?)</w:t>
      </w:r>
    </w:p>
    <w:p w:rsidRPr="00A43032" w:rsidR="00A43032" w:rsidP="00A43032" w:rsidRDefault="008202CC" w14:paraId="723BA13F" w14:textId="7CCF8F65">
      <w:pPr>
        <w:numPr>
          <w:ilvl w:val="0"/>
          <w:numId w:val="1"/>
        </w:numPr>
        <w:rPr>
          <w:rFonts w:ascii="Franklin Gothic Book" w:hAnsi="Franklin Gothic Book"/>
          <w:sz w:val="24"/>
          <w:szCs w:val="24"/>
        </w:rPr>
      </w:pPr>
      <w:r w:rsidRPr="00A43032">
        <w:rPr>
          <w:rFonts w:ascii="Franklin Gothic Book" w:hAnsi="Franklin Gothic Book"/>
          <w:sz w:val="24"/>
          <w:szCs w:val="24"/>
        </w:rPr>
        <w:t>Was the intervention’s reach equitable across subpopulations? Did it reach those at greatest risk?</w:t>
      </w:r>
    </w:p>
    <w:p w:rsidRPr="00A43032" w:rsidR="008202CC" w:rsidP="008202CC" w:rsidRDefault="008202CC" w14:paraId="7E4272C6" w14:textId="77777777">
      <w:pPr>
        <w:numPr>
          <w:ilvl w:val="0"/>
          <w:numId w:val="1"/>
        </w:numPr>
        <w:rPr>
          <w:rFonts w:ascii="Franklin Gothic Book" w:hAnsi="Franklin Gothic Book"/>
          <w:sz w:val="24"/>
          <w:szCs w:val="24"/>
        </w:rPr>
      </w:pPr>
      <w:r w:rsidRPr="00A43032">
        <w:rPr>
          <w:rFonts w:ascii="Franklin Gothic Book" w:hAnsi="Franklin Gothic Book"/>
          <w:sz w:val="24"/>
          <w:szCs w:val="24"/>
        </w:rPr>
        <w:t xml:space="preserve">Do local stakeholders think this intervention has strong potential to reach the intended population?  </w:t>
      </w:r>
    </w:p>
    <w:p w:rsidR="00D207A1" w:rsidP="008202CC" w:rsidRDefault="00D207A1" w14:paraId="3333C2A6" w14:textId="12384293">
      <w:pPr>
        <w:rPr>
          <w:rFonts w:ascii="Franklin Gothic Book" w:hAnsi="Franklin Gothic Book"/>
          <w:b/>
          <w:sz w:val="24"/>
          <w:szCs w:val="24"/>
        </w:rPr>
      </w:pPr>
    </w:p>
    <w:p w:rsidR="00D207A1" w:rsidP="008202CC" w:rsidRDefault="00D207A1" w14:paraId="2E6D48E1" w14:textId="77777777">
      <w:pPr>
        <w:rPr>
          <w:rFonts w:ascii="Franklin Gothic Book" w:hAnsi="Franklin Gothic Book"/>
          <w:b/>
          <w:sz w:val="24"/>
          <w:szCs w:val="24"/>
        </w:rPr>
      </w:pPr>
    </w:p>
    <w:p w:rsidR="00D207A1" w:rsidP="008202CC" w:rsidRDefault="00D207A1" w14:paraId="46A27EF4" w14:textId="77777777">
      <w:pPr>
        <w:rPr>
          <w:rFonts w:ascii="Franklin Gothic Book" w:hAnsi="Franklin Gothic Book"/>
          <w:b/>
          <w:sz w:val="24"/>
          <w:szCs w:val="24"/>
        </w:rPr>
      </w:pPr>
    </w:p>
    <w:p w:rsidRPr="00A43032" w:rsidR="008202CC" w:rsidP="008202CC" w:rsidRDefault="008202CC" w14:paraId="563A0DAA" w14:textId="000DF9C6">
      <w:pPr>
        <w:rPr>
          <w:rFonts w:ascii="Franklin Gothic Book" w:hAnsi="Franklin Gothic Book"/>
          <w:b/>
          <w:sz w:val="24"/>
          <w:szCs w:val="24"/>
        </w:rPr>
      </w:pPr>
      <w:r w:rsidRPr="00A43032">
        <w:rPr>
          <w:rFonts w:ascii="Franklin Gothic Book" w:hAnsi="Franklin Gothic Book"/>
          <w:b/>
          <w:sz w:val="24"/>
          <w:szCs w:val="24"/>
        </w:rPr>
        <w:t>Adoption</w:t>
      </w:r>
    </w:p>
    <w:p w:rsidRPr="00A43032" w:rsidR="002507E5" w:rsidP="008202CC" w:rsidRDefault="008202CC" w14:paraId="0C2B16CA" w14:textId="77777777">
      <w:pPr>
        <w:numPr>
          <w:ilvl w:val="0"/>
          <w:numId w:val="1"/>
        </w:numPr>
        <w:rPr>
          <w:rFonts w:ascii="Franklin Gothic Book" w:hAnsi="Franklin Gothic Book"/>
          <w:sz w:val="24"/>
          <w:szCs w:val="24"/>
        </w:rPr>
      </w:pPr>
      <w:r w:rsidRPr="00A43032">
        <w:rPr>
          <w:rFonts w:ascii="Franklin Gothic Book" w:hAnsi="Franklin Gothic Book"/>
          <w:sz w:val="24"/>
          <w:szCs w:val="24"/>
        </w:rPr>
        <w:t>Do prior studies provide guidance on factors that may influence adoption?</w:t>
      </w:r>
    </w:p>
    <w:p w:rsidRPr="00A43032" w:rsidR="002507E5" w:rsidP="008202CC" w:rsidRDefault="008202CC" w14:paraId="6C1609AA" w14:textId="77777777">
      <w:pPr>
        <w:numPr>
          <w:ilvl w:val="0"/>
          <w:numId w:val="1"/>
        </w:numPr>
        <w:rPr>
          <w:rFonts w:ascii="Franklin Gothic Book" w:hAnsi="Franklin Gothic Book"/>
          <w:sz w:val="24"/>
          <w:szCs w:val="24"/>
        </w:rPr>
      </w:pPr>
      <w:r w:rsidRPr="00A43032">
        <w:rPr>
          <w:rFonts w:ascii="Franklin Gothic Book" w:hAnsi="Franklin Gothic Book"/>
          <w:sz w:val="24"/>
          <w:szCs w:val="24"/>
        </w:rPr>
        <w:t>If we were to select this EBI, what organizations would make the decision to adopt and what types of professionals or lay people would implement and deliver the EBI?</w:t>
      </w:r>
    </w:p>
    <w:p w:rsidRPr="00A43032" w:rsidR="002507E5" w:rsidP="008202CC" w:rsidRDefault="008202CC" w14:paraId="247DA723" w14:textId="77777777">
      <w:pPr>
        <w:numPr>
          <w:ilvl w:val="0"/>
          <w:numId w:val="1"/>
        </w:numPr>
        <w:rPr>
          <w:rFonts w:ascii="Franklin Gothic Book" w:hAnsi="Franklin Gothic Book"/>
          <w:sz w:val="24"/>
          <w:szCs w:val="24"/>
        </w:rPr>
      </w:pPr>
      <w:r w:rsidRPr="00A43032">
        <w:rPr>
          <w:rFonts w:ascii="Franklin Gothic Book" w:hAnsi="Franklin Gothic Book"/>
          <w:sz w:val="24"/>
          <w:szCs w:val="24"/>
        </w:rPr>
        <w:t xml:space="preserve">How receptive do local stakeholders think those organizations and individuals will be to adopting this intervention? </w:t>
      </w:r>
    </w:p>
    <w:p w:rsidR="00D207A1" w:rsidP="008202CC" w:rsidRDefault="00D207A1" w14:paraId="37BF2015" w14:textId="3A3E8A0A">
      <w:pPr>
        <w:rPr>
          <w:rFonts w:ascii="Franklin Gothic Book" w:hAnsi="Franklin Gothic Book"/>
          <w:b/>
          <w:sz w:val="24"/>
          <w:szCs w:val="24"/>
        </w:rPr>
      </w:pPr>
    </w:p>
    <w:p w:rsidR="00D207A1" w:rsidP="008202CC" w:rsidRDefault="00D207A1" w14:paraId="3FC8B799" w14:textId="342B4374">
      <w:pPr>
        <w:rPr>
          <w:rFonts w:ascii="Franklin Gothic Book" w:hAnsi="Franklin Gothic Book"/>
          <w:b/>
          <w:sz w:val="24"/>
          <w:szCs w:val="24"/>
        </w:rPr>
      </w:pPr>
    </w:p>
    <w:p w:rsidR="00D207A1" w:rsidP="008202CC" w:rsidRDefault="00D207A1" w14:paraId="7AC7881D" w14:textId="77777777">
      <w:pPr>
        <w:rPr>
          <w:rFonts w:ascii="Franklin Gothic Book" w:hAnsi="Franklin Gothic Book"/>
          <w:b/>
          <w:sz w:val="24"/>
          <w:szCs w:val="24"/>
        </w:rPr>
      </w:pPr>
    </w:p>
    <w:p w:rsidRPr="00A43032" w:rsidR="008202CC" w:rsidP="008202CC" w:rsidRDefault="008202CC" w14:paraId="03819E3E" w14:textId="63BF2A1A">
      <w:pPr>
        <w:rPr>
          <w:rFonts w:ascii="Franklin Gothic Book" w:hAnsi="Franklin Gothic Book"/>
          <w:b/>
          <w:sz w:val="24"/>
          <w:szCs w:val="24"/>
        </w:rPr>
      </w:pPr>
      <w:r w:rsidRPr="00A43032">
        <w:rPr>
          <w:rFonts w:ascii="Franklin Gothic Book" w:hAnsi="Franklin Gothic Book"/>
          <w:b/>
          <w:sz w:val="24"/>
          <w:szCs w:val="24"/>
        </w:rPr>
        <w:t>Implementation</w:t>
      </w:r>
    </w:p>
    <w:p w:rsidRPr="00A43032" w:rsidR="002507E5" w:rsidP="008202CC" w:rsidRDefault="008202CC" w14:paraId="1EA070AA" w14:textId="77777777">
      <w:pPr>
        <w:numPr>
          <w:ilvl w:val="0"/>
          <w:numId w:val="3"/>
        </w:numPr>
        <w:rPr>
          <w:rFonts w:ascii="Franklin Gothic Book" w:hAnsi="Franklin Gothic Book"/>
          <w:sz w:val="24"/>
          <w:szCs w:val="24"/>
        </w:rPr>
      </w:pPr>
      <w:r w:rsidRPr="00A43032">
        <w:rPr>
          <w:rFonts w:ascii="Franklin Gothic Book" w:hAnsi="Franklin Gothic Book"/>
          <w:sz w:val="24"/>
          <w:szCs w:val="24"/>
        </w:rPr>
        <w:t>Do prior studies of the EBI provide evidence that it was implemented as intended (with fidelity) in real world settings?</w:t>
      </w:r>
    </w:p>
    <w:p w:rsidRPr="00A43032" w:rsidR="002507E5" w:rsidP="008202CC" w:rsidRDefault="008202CC" w14:paraId="0C0EEFD2" w14:textId="77777777">
      <w:pPr>
        <w:numPr>
          <w:ilvl w:val="0"/>
          <w:numId w:val="3"/>
        </w:numPr>
        <w:rPr>
          <w:rFonts w:ascii="Franklin Gothic Book" w:hAnsi="Franklin Gothic Book"/>
          <w:sz w:val="24"/>
          <w:szCs w:val="24"/>
        </w:rPr>
      </w:pPr>
      <w:r w:rsidRPr="00A43032">
        <w:rPr>
          <w:rFonts w:ascii="Franklin Gothic Book" w:hAnsi="Franklin Gothic Book"/>
          <w:sz w:val="24"/>
          <w:szCs w:val="24"/>
        </w:rPr>
        <w:t>What resources are required to implement the EBI? Is there information on how much it will cost?</w:t>
      </w:r>
    </w:p>
    <w:p w:rsidRPr="00A43032" w:rsidR="002507E5" w:rsidP="008202CC" w:rsidRDefault="008202CC" w14:paraId="3412F866" w14:textId="77777777">
      <w:pPr>
        <w:numPr>
          <w:ilvl w:val="0"/>
          <w:numId w:val="3"/>
        </w:numPr>
        <w:rPr>
          <w:rFonts w:ascii="Franklin Gothic Book" w:hAnsi="Franklin Gothic Book"/>
          <w:sz w:val="24"/>
          <w:szCs w:val="24"/>
        </w:rPr>
      </w:pPr>
      <w:r w:rsidRPr="00A43032">
        <w:rPr>
          <w:rFonts w:ascii="Franklin Gothic Book" w:hAnsi="Franklin Gothic Book"/>
          <w:sz w:val="24"/>
          <w:szCs w:val="24"/>
        </w:rPr>
        <w:t>Are intervention materials and implementation protocols available in ready-to-use formats?</w:t>
      </w:r>
    </w:p>
    <w:p w:rsidRPr="00A43032" w:rsidR="002507E5" w:rsidP="008202CC" w:rsidRDefault="008202CC" w14:paraId="56D021DE" w14:textId="77777777">
      <w:pPr>
        <w:numPr>
          <w:ilvl w:val="0"/>
          <w:numId w:val="3"/>
        </w:numPr>
        <w:rPr>
          <w:rFonts w:ascii="Franklin Gothic Book" w:hAnsi="Franklin Gothic Book"/>
          <w:sz w:val="24"/>
          <w:szCs w:val="24"/>
        </w:rPr>
      </w:pPr>
      <w:r w:rsidRPr="00A43032">
        <w:rPr>
          <w:rFonts w:ascii="Franklin Gothic Book" w:hAnsi="Franklin Gothic Book"/>
          <w:sz w:val="24"/>
          <w:szCs w:val="24"/>
        </w:rPr>
        <w:t>Do stakeholders view implementation as feasible in intended organizations or settings?</w:t>
      </w:r>
    </w:p>
    <w:p w:rsidR="00A43032" w:rsidP="00A43032" w:rsidRDefault="00A43032" w14:paraId="1047DB52" w14:textId="77777777">
      <w:pPr>
        <w:widowControl w:val="0"/>
        <w:autoSpaceDE w:val="0"/>
        <w:autoSpaceDN w:val="0"/>
        <w:adjustRightInd w:val="0"/>
        <w:spacing w:line="240" w:lineRule="auto"/>
        <w:rPr>
          <w:rFonts w:ascii="Franklin Gothic Book" w:hAnsi="Franklin Gothic Book"/>
          <w:sz w:val="24"/>
          <w:szCs w:val="24"/>
        </w:rPr>
      </w:pPr>
    </w:p>
    <w:p w:rsidR="00D207A1" w:rsidP="00A43032" w:rsidRDefault="00D207A1" w14:paraId="38AAD9EB"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24790228"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2ED199A0"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12A4C8DC"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4596FC4B"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288FB51C"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73350C81"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5087DD9E"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50D59356"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1B49C1CA"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00D207A1" w:rsidP="00A43032" w:rsidRDefault="00D207A1" w14:paraId="3CE7E919" w14:textId="77777777">
      <w:pPr>
        <w:widowControl w:val="0"/>
        <w:autoSpaceDE w:val="0"/>
        <w:autoSpaceDN w:val="0"/>
        <w:adjustRightInd w:val="0"/>
        <w:spacing w:line="240" w:lineRule="auto"/>
        <w:rPr>
          <w:rFonts w:ascii="Franklin Gothic Book" w:hAnsi="Franklin Gothic Book" w:cs="Times New Roman"/>
          <w:b/>
          <w:bCs/>
          <w:noProof/>
          <w:sz w:val="24"/>
          <w:szCs w:val="24"/>
        </w:rPr>
      </w:pPr>
    </w:p>
    <w:p w:rsidRPr="00D207A1" w:rsidR="00A43032" w:rsidP="00A43032" w:rsidRDefault="00A43032" w14:paraId="7E4641CE" w14:textId="27E6445E">
      <w:pPr>
        <w:widowControl w:val="0"/>
        <w:autoSpaceDE w:val="0"/>
        <w:autoSpaceDN w:val="0"/>
        <w:adjustRightInd w:val="0"/>
        <w:spacing w:line="240" w:lineRule="auto"/>
        <w:rPr>
          <w:rFonts w:ascii="Franklin Gothic Book" w:hAnsi="Franklin Gothic Book" w:cs="Times New Roman"/>
          <w:b/>
          <w:bCs/>
          <w:noProof/>
          <w:sz w:val="24"/>
          <w:szCs w:val="24"/>
        </w:rPr>
      </w:pPr>
      <w:r w:rsidRPr="00D207A1">
        <w:rPr>
          <w:rFonts w:ascii="Franklin Gothic Book" w:hAnsi="Franklin Gothic Book" w:cs="Times New Roman"/>
          <w:b/>
          <w:bCs/>
          <w:noProof/>
          <w:sz w:val="24"/>
          <w:szCs w:val="24"/>
        </w:rPr>
        <w:t xml:space="preserve">Bibliography </w:t>
      </w:r>
    </w:p>
    <w:p w:rsidRPr="00D207A1" w:rsidR="00A43032" w:rsidP="00A43032" w:rsidRDefault="00A43032" w14:paraId="70CBD741" w14:textId="26636BFC">
      <w:pPr>
        <w:widowControl w:val="0"/>
        <w:autoSpaceDE w:val="0"/>
        <w:autoSpaceDN w:val="0"/>
        <w:adjustRightInd w:val="0"/>
        <w:spacing w:line="240" w:lineRule="auto"/>
        <w:ind w:left="480" w:hanging="480"/>
        <w:rPr>
          <w:rFonts w:ascii="Franklin Gothic Book" w:hAnsi="Franklin Gothic Book" w:cs="Times New Roman"/>
          <w:noProof/>
          <w:sz w:val="24"/>
          <w:szCs w:val="24"/>
        </w:rPr>
      </w:pPr>
      <w:r w:rsidRPr="00D207A1">
        <w:rPr>
          <w:rFonts w:ascii="Franklin Gothic Book" w:hAnsi="Franklin Gothic Book" w:cs="Times New Roman"/>
          <w:noProof/>
          <w:sz w:val="24"/>
          <w:szCs w:val="24"/>
        </w:rPr>
        <w:t xml:space="preserve">Alkon, A., Crowley, A. A., Neelon, S. E. B., Hill, S., Pan, Y., Nguyen, V., Rose, R., Savage, E., Forestieri, N., Shipman, L., &amp; Kotch, J. B. (2014). Nutrition and physical activity randomized control trial in child care centers improves knowledge, policies, and children’s body mass index. </w:t>
      </w:r>
      <w:r w:rsidRPr="00D207A1">
        <w:rPr>
          <w:rFonts w:ascii="Franklin Gothic Book" w:hAnsi="Franklin Gothic Book" w:cs="Times New Roman"/>
          <w:i/>
          <w:iCs/>
          <w:noProof/>
          <w:sz w:val="24"/>
          <w:szCs w:val="24"/>
        </w:rPr>
        <w:t>BMC Public Health</w:t>
      </w:r>
      <w:r w:rsidRPr="00D207A1">
        <w:rPr>
          <w:rFonts w:ascii="Franklin Gothic Book" w:hAnsi="Franklin Gothic Book" w:cs="Times New Roman"/>
          <w:noProof/>
          <w:sz w:val="24"/>
          <w:szCs w:val="24"/>
        </w:rPr>
        <w:t xml:space="preserve">, </w:t>
      </w:r>
      <w:r w:rsidRPr="00D207A1">
        <w:rPr>
          <w:rFonts w:ascii="Franklin Gothic Book" w:hAnsi="Franklin Gothic Book" w:cs="Times New Roman"/>
          <w:i/>
          <w:iCs/>
          <w:noProof/>
          <w:sz w:val="24"/>
          <w:szCs w:val="24"/>
        </w:rPr>
        <w:t>14</w:t>
      </w:r>
      <w:r w:rsidRPr="00D207A1">
        <w:rPr>
          <w:rFonts w:ascii="Franklin Gothic Book" w:hAnsi="Franklin Gothic Book" w:cs="Times New Roman"/>
          <w:noProof/>
          <w:sz w:val="24"/>
          <w:szCs w:val="24"/>
        </w:rPr>
        <w:t xml:space="preserve">(1), 215. </w:t>
      </w:r>
      <w:hyperlink w:history="1" r:id="rId8">
        <w:r w:rsidRPr="00D207A1">
          <w:rPr>
            <w:rStyle w:val="Hyperlink"/>
            <w:rFonts w:ascii="Franklin Gothic Book" w:hAnsi="Franklin Gothic Book" w:cs="Times New Roman"/>
            <w:noProof/>
            <w:sz w:val="24"/>
            <w:szCs w:val="24"/>
          </w:rPr>
          <w:t>https://doi.org/10.1186/1471-2458-14-215</w:t>
        </w:r>
      </w:hyperlink>
    </w:p>
    <w:p w:rsidRPr="00D207A1" w:rsidR="00A43032" w:rsidP="00A43032" w:rsidRDefault="00A43032" w14:paraId="79293BA8" w14:textId="1D039827">
      <w:pPr>
        <w:widowControl w:val="0"/>
        <w:autoSpaceDE w:val="0"/>
        <w:autoSpaceDN w:val="0"/>
        <w:adjustRightInd w:val="0"/>
        <w:spacing w:line="240" w:lineRule="auto"/>
        <w:ind w:left="480" w:hanging="480"/>
        <w:rPr>
          <w:rFonts w:ascii="Franklin Gothic Book" w:hAnsi="Franklin Gothic Book" w:cs="Times New Roman"/>
          <w:noProof/>
          <w:sz w:val="24"/>
          <w:szCs w:val="24"/>
        </w:rPr>
      </w:pPr>
      <w:r w:rsidRPr="00D207A1">
        <w:rPr>
          <w:rFonts w:ascii="Franklin Gothic Book" w:hAnsi="Franklin Gothic Book" w:cs="Times New Roman"/>
          <w:noProof/>
          <w:sz w:val="24"/>
          <w:szCs w:val="24"/>
        </w:rPr>
        <w:t xml:space="preserve">Battista, R. A., Oakley, H., Weddell, M. S., Mudd, L. M., Greene, J. B., &amp; West, S. T. (2014). Improving the physical activity and nutrition environment through self-assessment (NAP SACC) in rural area child care centers in North Carolina. Preventive Medicine, 67(S1). </w:t>
      </w:r>
      <w:hyperlink w:history="1" r:id="rId9">
        <w:r w:rsidRPr="00D207A1">
          <w:rPr>
            <w:rStyle w:val="Hyperlink"/>
            <w:rFonts w:ascii="Franklin Gothic Book" w:hAnsi="Franklin Gothic Book" w:cs="Times New Roman"/>
            <w:noProof/>
            <w:sz w:val="24"/>
            <w:szCs w:val="24"/>
          </w:rPr>
          <w:t>https://doi.org/10.1016/j.ypmed.2014.01.022</w:t>
        </w:r>
      </w:hyperlink>
    </w:p>
    <w:p w:rsidRPr="00D207A1" w:rsidR="00A43032" w:rsidP="00A43032" w:rsidRDefault="00A43032" w14:paraId="114B4E7B" w14:textId="2E2523C2">
      <w:pPr>
        <w:widowControl w:val="0"/>
        <w:autoSpaceDE w:val="0"/>
        <w:autoSpaceDN w:val="0"/>
        <w:adjustRightInd w:val="0"/>
        <w:spacing w:line="240" w:lineRule="auto"/>
        <w:ind w:left="480" w:hanging="480"/>
        <w:rPr>
          <w:rFonts w:ascii="Franklin Gothic Book" w:hAnsi="Franklin Gothic Book" w:cs="Times New Roman"/>
          <w:noProof/>
          <w:sz w:val="24"/>
          <w:szCs w:val="24"/>
        </w:rPr>
      </w:pPr>
      <w:r w:rsidRPr="00D207A1">
        <w:rPr>
          <w:rFonts w:ascii="Franklin Gothic Book" w:hAnsi="Franklin Gothic Book" w:cs="Times New Roman"/>
          <w:noProof/>
          <w:sz w:val="24"/>
          <w:szCs w:val="24"/>
        </w:rPr>
        <w:t xml:space="preserve">Benjamin, S. E., Neelon, B., Ball, S. C., Bangdiwala, S. I., Ammerman, A. S., &amp; Ward, D. S. (2007). Reliability and validity of a nutrition and physical activity environmental self-assessment for child care. International Journal of Behavioral Nutrition and Physical Activity, 4. </w:t>
      </w:r>
      <w:hyperlink w:history="1" r:id="rId10">
        <w:r w:rsidRPr="00D207A1">
          <w:rPr>
            <w:rStyle w:val="Hyperlink"/>
            <w:rFonts w:ascii="Franklin Gothic Book" w:hAnsi="Franklin Gothic Book" w:cs="Times New Roman"/>
            <w:noProof/>
            <w:sz w:val="24"/>
            <w:szCs w:val="24"/>
          </w:rPr>
          <w:t>https://doi.org/10.1186/1479-5868-4-29</w:t>
        </w:r>
      </w:hyperlink>
    </w:p>
    <w:p w:rsidRPr="00D207A1" w:rsidR="00A43032" w:rsidP="00A43032" w:rsidRDefault="00A43032" w14:paraId="49909BF4" w14:textId="73A37238">
      <w:pPr>
        <w:widowControl w:val="0"/>
        <w:autoSpaceDE w:val="0"/>
        <w:autoSpaceDN w:val="0"/>
        <w:adjustRightInd w:val="0"/>
        <w:spacing w:line="240" w:lineRule="auto"/>
        <w:ind w:left="480" w:hanging="480"/>
        <w:rPr>
          <w:rFonts w:ascii="Franklin Gothic Book" w:hAnsi="Franklin Gothic Book" w:cs="Times New Roman"/>
          <w:noProof/>
          <w:sz w:val="24"/>
          <w:szCs w:val="24"/>
        </w:rPr>
      </w:pPr>
      <w:r w:rsidRPr="00D207A1">
        <w:rPr>
          <w:rFonts w:ascii="Franklin Gothic Book" w:hAnsi="Franklin Gothic Book" w:cs="Times New Roman"/>
          <w:noProof/>
          <w:sz w:val="24"/>
          <w:szCs w:val="24"/>
        </w:rPr>
        <w:t>Bonis, M., Loftin, M., Ward, D., Tseng, T. S., Clesi, A., &amp; Sothern, M. (2014). Improving physical activity in daycare interventions. Childhood Obesity, 10(4). https://doi.org/10.1089/chi.2014.0040</w:t>
      </w:r>
    </w:p>
    <w:p w:rsidRPr="00D207A1" w:rsidR="00A43032" w:rsidP="00A43032" w:rsidRDefault="00A43032" w14:paraId="72524E8E" w14:textId="2CD0C85F">
      <w:pPr>
        <w:widowControl w:val="0"/>
        <w:autoSpaceDE w:val="0"/>
        <w:autoSpaceDN w:val="0"/>
        <w:adjustRightInd w:val="0"/>
        <w:spacing w:line="240" w:lineRule="auto"/>
        <w:ind w:left="480" w:hanging="480"/>
        <w:rPr>
          <w:rFonts w:ascii="Franklin Gothic Book" w:hAnsi="Franklin Gothic Book" w:cs="Times New Roman"/>
          <w:noProof/>
          <w:sz w:val="24"/>
          <w:szCs w:val="24"/>
        </w:rPr>
      </w:pPr>
      <w:r w:rsidRPr="00D207A1">
        <w:rPr>
          <w:rFonts w:ascii="Franklin Gothic Book" w:hAnsi="Franklin Gothic Book" w:cs="Times New Roman"/>
          <w:noProof/>
          <w:sz w:val="24"/>
          <w:szCs w:val="24"/>
        </w:rPr>
        <w:t xml:space="preserve">Langford, R., Jago, R., White, J., Moore, L., Papadaki, A., Hollingworth, W., Metcalfe, C., Ward, D., Campbell, R., Wells, S., &amp; Kipping, R. (2019). A physical activity, nutrition and oral health intervention in nursery settings: Process evaluation of the NAP SACC UK feasibility cluster RCT. BMC Public Health, 19(1). </w:t>
      </w:r>
      <w:hyperlink w:history="1" r:id="rId11">
        <w:r w:rsidRPr="00D207A1" w:rsidR="00D207A1">
          <w:rPr>
            <w:rStyle w:val="Hyperlink"/>
            <w:rFonts w:ascii="Franklin Gothic Book" w:hAnsi="Franklin Gothic Book" w:cs="Times New Roman"/>
            <w:noProof/>
            <w:sz w:val="24"/>
            <w:szCs w:val="24"/>
          </w:rPr>
          <w:t>https://doi.org/10.1186/s12889-019-7102-9</w:t>
        </w:r>
      </w:hyperlink>
    </w:p>
    <w:p w:rsidRPr="00D207A1" w:rsidR="00D207A1" w:rsidP="00A43032" w:rsidRDefault="00D207A1" w14:paraId="60A3A6E6" w14:textId="3B81325E">
      <w:pPr>
        <w:widowControl w:val="0"/>
        <w:autoSpaceDE w:val="0"/>
        <w:autoSpaceDN w:val="0"/>
        <w:adjustRightInd w:val="0"/>
        <w:spacing w:line="240" w:lineRule="auto"/>
        <w:ind w:left="480" w:hanging="480"/>
        <w:rPr>
          <w:rFonts w:ascii="Franklin Gothic Book" w:hAnsi="Franklin Gothic Book" w:cs="Times New Roman"/>
          <w:noProof/>
          <w:sz w:val="24"/>
          <w:szCs w:val="24"/>
        </w:rPr>
      </w:pPr>
      <w:r w:rsidRPr="00D207A1">
        <w:rPr>
          <w:rFonts w:ascii="Franklin Gothic Book" w:hAnsi="Franklin Gothic Book" w:cs="Times New Roman"/>
          <w:noProof/>
          <w:sz w:val="24"/>
          <w:szCs w:val="24"/>
        </w:rPr>
        <w:t xml:space="preserve">Predy, M., Holt, N., &amp; Carson, V. (2021). Examining correlates of outdoor play in childcare centres. Canadian Journal of Public Health, 112(2). </w:t>
      </w:r>
      <w:hyperlink w:history="1" r:id="rId12">
        <w:r w:rsidRPr="00D207A1">
          <w:rPr>
            <w:rStyle w:val="Hyperlink"/>
            <w:rFonts w:ascii="Franklin Gothic Book" w:hAnsi="Franklin Gothic Book" w:cs="Times New Roman"/>
            <w:noProof/>
            <w:sz w:val="24"/>
            <w:szCs w:val="24"/>
          </w:rPr>
          <w:t>https://doi.org/10.17269/s41997-020-00404-4</w:t>
        </w:r>
      </w:hyperlink>
    </w:p>
    <w:p w:rsidRPr="00D207A1" w:rsidR="00D207A1" w:rsidP="00D207A1" w:rsidRDefault="00D207A1" w14:paraId="58859679" w14:textId="77777777">
      <w:pPr>
        <w:widowControl w:val="0"/>
        <w:autoSpaceDE w:val="0"/>
        <w:autoSpaceDN w:val="0"/>
        <w:adjustRightInd w:val="0"/>
        <w:spacing w:line="240" w:lineRule="auto"/>
        <w:ind w:left="480" w:hanging="480"/>
        <w:rPr>
          <w:rFonts w:ascii="Franklin Gothic Book" w:hAnsi="Franklin Gothic Book" w:cs="Times New Roman"/>
          <w:noProof/>
          <w:sz w:val="24"/>
          <w:szCs w:val="24"/>
        </w:rPr>
      </w:pPr>
      <w:r w:rsidRPr="00D207A1">
        <w:rPr>
          <w:rFonts w:ascii="Franklin Gothic Book" w:hAnsi="Franklin Gothic Book" w:cs="Times New Roman"/>
          <w:noProof/>
          <w:sz w:val="24"/>
          <w:szCs w:val="24"/>
        </w:rPr>
        <w:t xml:space="preserve">Ward, D. S., Benjamin, S. E., Ammerman, A. S., Ball, S. C., Neelon, B. H., &amp; Bangdiwala, S. I. (2008). Nutrition and Physical Activity in Child Care. Results from an Environmental Intervention. </w:t>
      </w:r>
      <w:r w:rsidRPr="00D207A1">
        <w:rPr>
          <w:rFonts w:ascii="Franklin Gothic Book" w:hAnsi="Franklin Gothic Book" w:cs="Times New Roman"/>
          <w:i/>
          <w:iCs/>
          <w:noProof/>
          <w:sz w:val="24"/>
          <w:szCs w:val="24"/>
        </w:rPr>
        <w:t>American Journal of Preventive Medicine</w:t>
      </w:r>
      <w:r w:rsidRPr="00D207A1">
        <w:rPr>
          <w:rFonts w:ascii="Franklin Gothic Book" w:hAnsi="Franklin Gothic Book" w:cs="Times New Roman"/>
          <w:noProof/>
          <w:sz w:val="24"/>
          <w:szCs w:val="24"/>
        </w:rPr>
        <w:t xml:space="preserve">, </w:t>
      </w:r>
      <w:r w:rsidRPr="00D207A1">
        <w:rPr>
          <w:rFonts w:ascii="Franklin Gothic Book" w:hAnsi="Franklin Gothic Book" w:cs="Times New Roman"/>
          <w:i/>
          <w:iCs/>
          <w:noProof/>
          <w:sz w:val="24"/>
          <w:szCs w:val="24"/>
        </w:rPr>
        <w:t>35</w:t>
      </w:r>
      <w:r w:rsidRPr="00D207A1">
        <w:rPr>
          <w:rFonts w:ascii="Franklin Gothic Book" w:hAnsi="Franklin Gothic Book" w:cs="Times New Roman"/>
          <w:noProof/>
          <w:sz w:val="24"/>
          <w:szCs w:val="24"/>
        </w:rPr>
        <w:t>(4). https://doi.org/10.1016/j.amepre.2008.06.030</w:t>
      </w:r>
    </w:p>
    <w:p w:rsidRPr="00D207A1" w:rsidR="00A43032" w:rsidP="00D207A1" w:rsidRDefault="00D207A1" w14:paraId="007E901F" w14:textId="1917CF93">
      <w:pPr>
        <w:widowControl w:val="0"/>
        <w:autoSpaceDE w:val="0"/>
        <w:autoSpaceDN w:val="0"/>
        <w:adjustRightInd w:val="0"/>
        <w:spacing w:line="240" w:lineRule="auto"/>
        <w:ind w:left="480" w:hanging="480"/>
        <w:rPr>
          <w:rFonts w:ascii="Franklin Gothic Book" w:hAnsi="Franklin Gothic Book" w:cs="Times New Roman"/>
          <w:noProof/>
          <w:sz w:val="24"/>
          <w:szCs w:val="24"/>
        </w:rPr>
      </w:pPr>
      <w:r w:rsidRPr="00D207A1">
        <w:rPr>
          <w:rFonts w:ascii="Franklin Gothic Book" w:hAnsi="Franklin Gothic Book" w:cs="Times New Roman"/>
          <w:noProof/>
          <w:sz w:val="24"/>
          <w:szCs w:val="24"/>
        </w:rPr>
        <w:t xml:space="preserve">Ward, D. S., Welker, E., Choate, A., Henderson, K. E., Lott, M., Tovar, A., Wilson, A., &amp; Sallis, J. F. (2017). Strength of obesity prevention interventions in early care and education settings: A systematic review. </w:t>
      </w:r>
      <w:r w:rsidRPr="00D207A1">
        <w:rPr>
          <w:rFonts w:ascii="Franklin Gothic Book" w:hAnsi="Franklin Gothic Book" w:cs="Times New Roman"/>
          <w:i/>
          <w:iCs/>
          <w:noProof/>
          <w:sz w:val="24"/>
          <w:szCs w:val="24"/>
        </w:rPr>
        <w:t>Preventive Medicine</w:t>
      </w:r>
      <w:r w:rsidRPr="00D207A1">
        <w:rPr>
          <w:rFonts w:ascii="Franklin Gothic Book" w:hAnsi="Franklin Gothic Book" w:cs="Times New Roman"/>
          <w:noProof/>
          <w:sz w:val="24"/>
          <w:szCs w:val="24"/>
        </w:rPr>
        <w:t xml:space="preserve">, </w:t>
      </w:r>
      <w:r w:rsidRPr="00D207A1">
        <w:rPr>
          <w:rFonts w:ascii="Franklin Gothic Book" w:hAnsi="Franklin Gothic Book" w:cs="Times New Roman"/>
          <w:i/>
          <w:iCs/>
          <w:noProof/>
          <w:sz w:val="24"/>
          <w:szCs w:val="24"/>
        </w:rPr>
        <w:t>95</w:t>
      </w:r>
      <w:r w:rsidRPr="00D207A1">
        <w:rPr>
          <w:rFonts w:ascii="Franklin Gothic Book" w:hAnsi="Franklin Gothic Book" w:cs="Times New Roman"/>
          <w:noProof/>
          <w:sz w:val="24"/>
          <w:szCs w:val="24"/>
        </w:rPr>
        <w:t>. https://doi.org/10.1016/j.ypmed.2016.09.033</w:t>
      </w:r>
    </w:p>
    <w:sectPr w:rsidRPr="00D207A1" w:rsidR="00A43032" w:rsidSect="00A43032">
      <w:headerReference w:type="default" r:id="rId13"/>
      <w:footerReference w:type="default" r:id="rId14"/>
      <w:pgSz w:w="12240" w:h="15840"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F1890" w:rsidP="00A43032" w:rsidRDefault="000F1890" w14:paraId="25C5FE61" w14:textId="77777777">
      <w:pPr>
        <w:spacing w:after="0" w:line="240" w:lineRule="auto"/>
      </w:pPr>
      <w:r>
        <w:separator/>
      </w:r>
    </w:p>
  </w:endnote>
  <w:endnote w:type="continuationSeparator" w:id="0">
    <w:p w:rsidR="000F1890" w:rsidP="00A43032" w:rsidRDefault="000F1890" w14:paraId="57DB020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5709362"/>
      <w:docPartObj>
        <w:docPartGallery w:val="Page Numbers (Bottom of Page)"/>
        <w:docPartUnique/>
      </w:docPartObj>
    </w:sdtPr>
    <w:sdtEndPr>
      <w:rPr>
        <w:noProof/>
      </w:rPr>
    </w:sdtEndPr>
    <w:sdtContent>
      <w:p w:rsidR="00D207A1" w:rsidRDefault="00D207A1" w14:paraId="3B5A06D5" w14:textId="26F33CB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D207A1" w:rsidRDefault="00D207A1" w14:paraId="1243DCD9" w14:textId="2629DADA">
    <w:pPr>
      <w:pStyle w:val="Footer"/>
    </w:pPr>
    <w:r>
      <w:t>4.14.2021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F1890" w:rsidP="00A43032" w:rsidRDefault="000F1890" w14:paraId="7EE9BAA1" w14:textId="77777777">
      <w:pPr>
        <w:spacing w:after="0" w:line="240" w:lineRule="auto"/>
      </w:pPr>
      <w:r>
        <w:separator/>
      </w:r>
    </w:p>
  </w:footnote>
  <w:footnote w:type="continuationSeparator" w:id="0">
    <w:p w:rsidR="000F1890" w:rsidP="00A43032" w:rsidRDefault="000F1890" w14:paraId="7386CA1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A43032" w:rsidR="00A43032" w:rsidP="00A43032" w:rsidRDefault="00A43032" w14:paraId="53AC6ADB" w14:textId="4C210CD4">
    <w:pPr>
      <w:pStyle w:val="Header"/>
      <w:jc w:val="center"/>
      <w:rPr>
        <w:rFonts w:ascii="Franklin Gothic Book" w:hAnsi="Franklin Gothic Book"/>
        <w:b/>
        <w:bCs/>
        <w:i/>
        <w:iCs/>
        <w:color w:val="002060"/>
        <w:sz w:val="24"/>
        <w:szCs w:val="24"/>
      </w:rPr>
    </w:pPr>
    <w:r w:rsidR="007FBC94">
      <w:drawing>
        <wp:inline wp14:editId="31498718" wp14:anchorId="267ABA2B">
          <wp:extent cx="2552700" cy="801429"/>
          <wp:effectExtent l="0" t="0" r="0" b="0"/>
          <wp:docPr id="1" name="Picture 1" descr="A picture containing text, sign&#10;&#10;Description automatically generated" title=""/>
          <wp:cNvGraphicFramePr>
            <a:graphicFrameLocks noChangeAspect="1"/>
          </wp:cNvGraphicFramePr>
          <a:graphic>
            <a:graphicData uri="http://schemas.openxmlformats.org/drawingml/2006/picture">
              <pic:pic>
                <pic:nvPicPr>
                  <pic:cNvPr id="0" name="Picture 1"/>
                  <pic:cNvPicPr/>
                </pic:nvPicPr>
                <pic:blipFill>
                  <a:blip r:embed="Rb08875d21f3e4f3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552700" cy="801429"/>
                  </a:xfrm>
                  <a:prstGeom prst="rect">
                    <a:avLst/>
                  </a:prstGeom>
                </pic:spPr>
              </pic:pic>
            </a:graphicData>
          </a:graphic>
        </wp:inline>
      </w:drawing>
    </w:r>
    <w:r>
      <w:br/>
    </w:r>
    <w:r w:rsidRPr="007FBC94" w:rsidR="007FBC94">
      <w:rPr>
        <w:rFonts w:ascii="Franklin Gothic Book" w:hAnsi="Franklin Gothic Book"/>
        <w:b w:val="1"/>
        <w:bCs w:val="1"/>
        <w:i w:val="1"/>
        <w:iCs w:val="1"/>
        <w:color w:val="002060"/>
        <w:sz w:val="24"/>
        <w:szCs w:val="24"/>
      </w:rPr>
      <w:t>Putting Public Health Evidence in Action to Prevent and Control Cancer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808AE"/>
    <w:multiLevelType w:val="hybridMultilevel"/>
    <w:tmpl w:val="545E245E"/>
    <w:lvl w:ilvl="0" w:tplc="8818A422">
      <w:start w:val="1"/>
      <w:numFmt w:val="bullet"/>
      <w:lvlText w:val="•"/>
      <w:lvlJc w:val="left"/>
      <w:pPr>
        <w:tabs>
          <w:tab w:val="num" w:pos="720"/>
        </w:tabs>
        <w:ind w:left="720" w:hanging="360"/>
      </w:pPr>
      <w:rPr>
        <w:rFonts w:hint="default" w:ascii="Arial" w:hAnsi="Arial"/>
      </w:rPr>
    </w:lvl>
    <w:lvl w:ilvl="1" w:tplc="185CDFB2" w:tentative="1">
      <w:start w:val="1"/>
      <w:numFmt w:val="bullet"/>
      <w:lvlText w:val="•"/>
      <w:lvlJc w:val="left"/>
      <w:pPr>
        <w:tabs>
          <w:tab w:val="num" w:pos="1440"/>
        </w:tabs>
        <w:ind w:left="1440" w:hanging="360"/>
      </w:pPr>
      <w:rPr>
        <w:rFonts w:hint="default" w:ascii="Arial" w:hAnsi="Arial"/>
      </w:rPr>
    </w:lvl>
    <w:lvl w:ilvl="2" w:tplc="4316FB46" w:tentative="1">
      <w:start w:val="1"/>
      <w:numFmt w:val="bullet"/>
      <w:lvlText w:val="•"/>
      <w:lvlJc w:val="left"/>
      <w:pPr>
        <w:tabs>
          <w:tab w:val="num" w:pos="2160"/>
        </w:tabs>
        <w:ind w:left="2160" w:hanging="360"/>
      </w:pPr>
      <w:rPr>
        <w:rFonts w:hint="default" w:ascii="Arial" w:hAnsi="Arial"/>
      </w:rPr>
    </w:lvl>
    <w:lvl w:ilvl="3" w:tplc="52304E0A" w:tentative="1">
      <w:start w:val="1"/>
      <w:numFmt w:val="bullet"/>
      <w:lvlText w:val="•"/>
      <w:lvlJc w:val="left"/>
      <w:pPr>
        <w:tabs>
          <w:tab w:val="num" w:pos="2880"/>
        </w:tabs>
        <w:ind w:left="2880" w:hanging="360"/>
      </w:pPr>
      <w:rPr>
        <w:rFonts w:hint="default" w:ascii="Arial" w:hAnsi="Arial"/>
      </w:rPr>
    </w:lvl>
    <w:lvl w:ilvl="4" w:tplc="65A86D0C" w:tentative="1">
      <w:start w:val="1"/>
      <w:numFmt w:val="bullet"/>
      <w:lvlText w:val="•"/>
      <w:lvlJc w:val="left"/>
      <w:pPr>
        <w:tabs>
          <w:tab w:val="num" w:pos="3600"/>
        </w:tabs>
        <w:ind w:left="3600" w:hanging="360"/>
      </w:pPr>
      <w:rPr>
        <w:rFonts w:hint="default" w:ascii="Arial" w:hAnsi="Arial"/>
      </w:rPr>
    </w:lvl>
    <w:lvl w:ilvl="5" w:tplc="EA984E56" w:tentative="1">
      <w:start w:val="1"/>
      <w:numFmt w:val="bullet"/>
      <w:lvlText w:val="•"/>
      <w:lvlJc w:val="left"/>
      <w:pPr>
        <w:tabs>
          <w:tab w:val="num" w:pos="4320"/>
        </w:tabs>
        <w:ind w:left="4320" w:hanging="360"/>
      </w:pPr>
      <w:rPr>
        <w:rFonts w:hint="default" w:ascii="Arial" w:hAnsi="Arial"/>
      </w:rPr>
    </w:lvl>
    <w:lvl w:ilvl="6" w:tplc="9DA8D40C" w:tentative="1">
      <w:start w:val="1"/>
      <w:numFmt w:val="bullet"/>
      <w:lvlText w:val="•"/>
      <w:lvlJc w:val="left"/>
      <w:pPr>
        <w:tabs>
          <w:tab w:val="num" w:pos="5040"/>
        </w:tabs>
        <w:ind w:left="5040" w:hanging="360"/>
      </w:pPr>
      <w:rPr>
        <w:rFonts w:hint="default" w:ascii="Arial" w:hAnsi="Arial"/>
      </w:rPr>
    </w:lvl>
    <w:lvl w:ilvl="7" w:tplc="7F487448" w:tentative="1">
      <w:start w:val="1"/>
      <w:numFmt w:val="bullet"/>
      <w:lvlText w:val="•"/>
      <w:lvlJc w:val="left"/>
      <w:pPr>
        <w:tabs>
          <w:tab w:val="num" w:pos="5760"/>
        </w:tabs>
        <w:ind w:left="5760" w:hanging="360"/>
      </w:pPr>
      <w:rPr>
        <w:rFonts w:hint="default" w:ascii="Arial" w:hAnsi="Arial"/>
      </w:rPr>
    </w:lvl>
    <w:lvl w:ilvl="8" w:tplc="72B4E080" w:tentative="1">
      <w:start w:val="1"/>
      <w:numFmt w:val="bullet"/>
      <w:lvlText w:val="•"/>
      <w:lvlJc w:val="left"/>
      <w:pPr>
        <w:tabs>
          <w:tab w:val="num" w:pos="6480"/>
        </w:tabs>
        <w:ind w:left="6480" w:hanging="360"/>
      </w:pPr>
      <w:rPr>
        <w:rFonts w:hint="default" w:ascii="Arial" w:hAnsi="Arial"/>
      </w:rPr>
    </w:lvl>
  </w:abstractNum>
  <w:abstractNum w:abstractNumId="1" w15:restartNumberingAfterBreak="0">
    <w:nsid w:val="24BB65E7"/>
    <w:multiLevelType w:val="multilevel"/>
    <w:tmpl w:val="5B3A172A"/>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 w15:restartNumberingAfterBreak="0">
    <w:nsid w:val="39622A06"/>
    <w:multiLevelType w:val="hybridMultilevel"/>
    <w:tmpl w:val="E66C765C"/>
    <w:lvl w:ilvl="0" w:tplc="050634C4">
      <w:start w:val="1"/>
      <w:numFmt w:val="bullet"/>
      <w:lvlText w:val="•"/>
      <w:lvlJc w:val="left"/>
      <w:pPr>
        <w:tabs>
          <w:tab w:val="num" w:pos="720"/>
        </w:tabs>
        <w:ind w:left="720" w:hanging="360"/>
      </w:pPr>
      <w:rPr>
        <w:rFonts w:hint="default" w:ascii="Arial" w:hAnsi="Arial"/>
      </w:rPr>
    </w:lvl>
    <w:lvl w:ilvl="1" w:tplc="95E02118" w:tentative="1">
      <w:start w:val="1"/>
      <w:numFmt w:val="bullet"/>
      <w:lvlText w:val="•"/>
      <w:lvlJc w:val="left"/>
      <w:pPr>
        <w:tabs>
          <w:tab w:val="num" w:pos="1440"/>
        </w:tabs>
        <w:ind w:left="1440" w:hanging="360"/>
      </w:pPr>
      <w:rPr>
        <w:rFonts w:hint="default" w:ascii="Arial" w:hAnsi="Arial"/>
      </w:rPr>
    </w:lvl>
    <w:lvl w:ilvl="2" w:tplc="DC4002A0" w:tentative="1">
      <w:start w:val="1"/>
      <w:numFmt w:val="bullet"/>
      <w:lvlText w:val="•"/>
      <w:lvlJc w:val="left"/>
      <w:pPr>
        <w:tabs>
          <w:tab w:val="num" w:pos="2160"/>
        </w:tabs>
        <w:ind w:left="2160" w:hanging="360"/>
      </w:pPr>
      <w:rPr>
        <w:rFonts w:hint="default" w:ascii="Arial" w:hAnsi="Arial"/>
      </w:rPr>
    </w:lvl>
    <w:lvl w:ilvl="3" w:tplc="293C5900" w:tentative="1">
      <w:start w:val="1"/>
      <w:numFmt w:val="bullet"/>
      <w:lvlText w:val="•"/>
      <w:lvlJc w:val="left"/>
      <w:pPr>
        <w:tabs>
          <w:tab w:val="num" w:pos="2880"/>
        </w:tabs>
        <w:ind w:left="2880" w:hanging="360"/>
      </w:pPr>
      <w:rPr>
        <w:rFonts w:hint="default" w:ascii="Arial" w:hAnsi="Arial"/>
      </w:rPr>
    </w:lvl>
    <w:lvl w:ilvl="4" w:tplc="EC6A4BAC" w:tentative="1">
      <w:start w:val="1"/>
      <w:numFmt w:val="bullet"/>
      <w:lvlText w:val="•"/>
      <w:lvlJc w:val="left"/>
      <w:pPr>
        <w:tabs>
          <w:tab w:val="num" w:pos="3600"/>
        </w:tabs>
        <w:ind w:left="3600" w:hanging="360"/>
      </w:pPr>
      <w:rPr>
        <w:rFonts w:hint="default" w:ascii="Arial" w:hAnsi="Arial"/>
      </w:rPr>
    </w:lvl>
    <w:lvl w:ilvl="5" w:tplc="9B6CFF34" w:tentative="1">
      <w:start w:val="1"/>
      <w:numFmt w:val="bullet"/>
      <w:lvlText w:val="•"/>
      <w:lvlJc w:val="left"/>
      <w:pPr>
        <w:tabs>
          <w:tab w:val="num" w:pos="4320"/>
        </w:tabs>
        <w:ind w:left="4320" w:hanging="360"/>
      </w:pPr>
      <w:rPr>
        <w:rFonts w:hint="default" w:ascii="Arial" w:hAnsi="Arial"/>
      </w:rPr>
    </w:lvl>
    <w:lvl w:ilvl="6" w:tplc="FBC2C826" w:tentative="1">
      <w:start w:val="1"/>
      <w:numFmt w:val="bullet"/>
      <w:lvlText w:val="•"/>
      <w:lvlJc w:val="left"/>
      <w:pPr>
        <w:tabs>
          <w:tab w:val="num" w:pos="5040"/>
        </w:tabs>
        <w:ind w:left="5040" w:hanging="360"/>
      </w:pPr>
      <w:rPr>
        <w:rFonts w:hint="default" w:ascii="Arial" w:hAnsi="Arial"/>
      </w:rPr>
    </w:lvl>
    <w:lvl w:ilvl="7" w:tplc="13CCE566" w:tentative="1">
      <w:start w:val="1"/>
      <w:numFmt w:val="bullet"/>
      <w:lvlText w:val="•"/>
      <w:lvlJc w:val="left"/>
      <w:pPr>
        <w:tabs>
          <w:tab w:val="num" w:pos="5760"/>
        </w:tabs>
        <w:ind w:left="5760" w:hanging="360"/>
      </w:pPr>
      <w:rPr>
        <w:rFonts w:hint="default" w:ascii="Arial" w:hAnsi="Arial"/>
      </w:rPr>
    </w:lvl>
    <w:lvl w:ilvl="8" w:tplc="41364868" w:tentative="1">
      <w:start w:val="1"/>
      <w:numFmt w:val="bullet"/>
      <w:lvlText w:val="•"/>
      <w:lvlJc w:val="left"/>
      <w:pPr>
        <w:tabs>
          <w:tab w:val="num" w:pos="6480"/>
        </w:tabs>
        <w:ind w:left="6480" w:hanging="360"/>
      </w:pPr>
      <w:rPr>
        <w:rFonts w:hint="default" w:ascii="Arial" w:hAnsi="Arial"/>
      </w:rPr>
    </w:lvl>
  </w:abstractNum>
  <w:abstractNum w:abstractNumId="3" w15:restartNumberingAfterBreak="0">
    <w:nsid w:val="682765F2"/>
    <w:multiLevelType w:val="hybridMultilevel"/>
    <w:tmpl w:val="96B8A720"/>
    <w:lvl w:ilvl="0" w:tplc="24D2D06C">
      <w:start w:val="1"/>
      <w:numFmt w:val="bullet"/>
      <w:lvlText w:val="•"/>
      <w:lvlJc w:val="left"/>
      <w:pPr>
        <w:tabs>
          <w:tab w:val="num" w:pos="720"/>
        </w:tabs>
        <w:ind w:left="720" w:hanging="360"/>
      </w:pPr>
      <w:rPr>
        <w:rFonts w:hint="default" w:ascii="Arial" w:hAnsi="Arial"/>
      </w:rPr>
    </w:lvl>
    <w:lvl w:ilvl="1" w:tplc="3C14452C" w:tentative="1">
      <w:start w:val="1"/>
      <w:numFmt w:val="bullet"/>
      <w:lvlText w:val="•"/>
      <w:lvlJc w:val="left"/>
      <w:pPr>
        <w:tabs>
          <w:tab w:val="num" w:pos="1440"/>
        </w:tabs>
        <w:ind w:left="1440" w:hanging="360"/>
      </w:pPr>
      <w:rPr>
        <w:rFonts w:hint="default" w:ascii="Arial" w:hAnsi="Arial"/>
      </w:rPr>
    </w:lvl>
    <w:lvl w:ilvl="2" w:tplc="0B32C328" w:tentative="1">
      <w:start w:val="1"/>
      <w:numFmt w:val="bullet"/>
      <w:lvlText w:val="•"/>
      <w:lvlJc w:val="left"/>
      <w:pPr>
        <w:tabs>
          <w:tab w:val="num" w:pos="2160"/>
        </w:tabs>
        <w:ind w:left="2160" w:hanging="360"/>
      </w:pPr>
      <w:rPr>
        <w:rFonts w:hint="default" w:ascii="Arial" w:hAnsi="Arial"/>
      </w:rPr>
    </w:lvl>
    <w:lvl w:ilvl="3" w:tplc="77DCA2D8" w:tentative="1">
      <w:start w:val="1"/>
      <w:numFmt w:val="bullet"/>
      <w:lvlText w:val="•"/>
      <w:lvlJc w:val="left"/>
      <w:pPr>
        <w:tabs>
          <w:tab w:val="num" w:pos="2880"/>
        </w:tabs>
        <w:ind w:left="2880" w:hanging="360"/>
      </w:pPr>
      <w:rPr>
        <w:rFonts w:hint="default" w:ascii="Arial" w:hAnsi="Arial"/>
      </w:rPr>
    </w:lvl>
    <w:lvl w:ilvl="4" w:tplc="B94AC278" w:tentative="1">
      <w:start w:val="1"/>
      <w:numFmt w:val="bullet"/>
      <w:lvlText w:val="•"/>
      <w:lvlJc w:val="left"/>
      <w:pPr>
        <w:tabs>
          <w:tab w:val="num" w:pos="3600"/>
        </w:tabs>
        <w:ind w:left="3600" w:hanging="360"/>
      </w:pPr>
      <w:rPr>
        <w:rFonts w:hint="default" w:ascii="Arial" w:hAnsi="Arial"/>
      </w:rPr>
    </w:lvl>
    <w:lvl w:ilvl="5" w:tplc="14A43E86" w:tentative="1">
      <w:start w:val="1"/>
      <w:numFmt w:val="bullet"/>
      <w:lvlText w:val="•"/>
      <w:lvlJc w:val="left"/>
      <w:pPr>
        <w:tabs>
          <w:tab w:val="num" w:pos="4320"/>
        </w:tabs>
        <w:ind w:left="4320" w:hanging="360"/>
      </w:pPr>
      <w:rPr>
        <w:rFonts w:hint="default" w:ascii="Arial" w:hAnsi="Arial"/>
      </w:rPr>
    </w:lvl>
    <w:lvl w:ilvl="6" w:tplc="FE580574" w:tentative="1">
      <w:start w:val="1"/>
      <w:numFmt w:val="bullet"/>
      <w:lvlText w:val="•"/>
      <w:lvlJc w:val="left"/>
      <w:pPr>
        <w:tabs>
          <w:tab w:val="num" w:pos="5040"/>
        </w:tabs>
        <w:ind w:left="5040" w:hanging="360"/>
      </w:pPr>
      <w:rPr>
        <w:rFonts w:hint="default" w:ascii="Arial" w:hAnsi="Arial"/>
      </w:rPr>
    </w:lvl>
    <w:lvl w:ilvl="7" w:tplc="A0A8F684" w:tentative="1">
      <w:start w:val="1"/>
      <w:numFmt w:val="bullet"/>
      <w:lvlText w:val="•"/>
      <w:lvlJc w:val="left"/>
      <w:pPr>
        <w:tabs>
          <w:tab w:val="num" w:pos="5760"/>
        </w:tabs>
        <w:ind w:left="5760" w:hanging="360"/>
      </w:pPr>
      <w:rPr>
        <w:rFonts w:hint="default" w:ascii="Arial" w:hAnsi="Arial"/>
      </w:rPr>
    </w:lvl>
    <w:lvl w:ilvl="8" w:tplc="BE6E35DC" w:tentative="1">
      <w:start w:val="1"/>
      <w:numFmt w:val="bullet"/>
      <w:lvlText w:val="•"/>
      <w:lvlJc w:val="left"/>
      <w:pPr>
        <w:tabs>
          <w:tab w:val="num" w:pos="6480"/>
        </w:tabs>
        <w:ind w:left="6480" w:hanging="360"/>
      </w:pPr>
      <w:rPr>
        <w:rFonts w:hint="default" w:ascii="Arial" w:hAnsi="Arial"/>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2CC"/>
    <w:rsid w:val="000F1890"/>
    <w:rsid w:val="002507E5"/>
    <w:rsid w:val="007FBC94"/>
    <w:rsid w:val="008202CC"/>
    <w:rsid w:val="00841DDD"/>
    <w:rsid w:val="00A43032"/>
    <w:rsid w:val="00D207A1"/>
    <w:rsid w:val="02054383"/>
    <w:rsid w:val="08529BFC"/>
    <w:rsid w:val="0A35634D"/>
    <w:rsid w:val="0AC590CD"/>
    <w:rsid w:val="20A1A623"/>
    <w:rsid w:val="2A7C254A"/>
    <w:rsid w:val="301D65C8"/>
    <w:rsid w:val="35008CB8"/>
    <w:rsid w:val="35492409"/>
    <w:rsid w:val="41DC252E"/>
    <w:rsid w:val="42409D6E"/>
    <w:rsid w:val="475F9145"/>
    <w:rsid w:val="4CD9E56F"/>
    <w:rsid w:val="4CE2FD5C"/>
    <w:rsid w:val="582FE549"/>
    <w:rsid w:val="591E4A7C"/>
    <w:rsid w:val="6B961C54"/>
    <w:rsid w:val="6D7DAC91"/>
    <w:rsid w:val="730118A8"/>
    <w:rsid w:val="7B16A689"/>
    <w:rsid w:val="7CB88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9D5C41"/>
  <w15:chartTrackingRefBased/>
  <w15:docId w15:val="{584373E1-1F7C-462B-B402-159C9387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43032"/>
    <w:pPr>
      <w:tabs>
        <w:tab w:val="center" w:pos="4680"/>
        <w:tab w:val="right" w:pos="9360"/>
      </w:tabs>
      <w:spacing w:after="0" w:line="240" w:lineRule="auto"/>
    </w:pPr>
  </w:style>
  <w:style w:type="character" w:styleId="HeaderChar" w:customStyle="1">
    <w:name w:val="Header Char"/>
    <w:basedOn w:val="DefaultParagraphFont"/>
    <w:link w:val="Header"/>
    <w:uiPriority w:val="99"/>
    <w:rsid w:val="00A43032"/>
  </w:style>
  <w:style w:type="paragraph" w:styleId="Footer">
    <w:name w:val="footer"/>
    <w:basedOn w:val="Normal"/>
    <w:link w:val="FooterChar"/>
    <w:uiPriority w:val="99"/>
    <w:unhideWhenUsed/>
    <w:rsid w:val="00A43032"/>
    <w:pPr>
      <w:tabs>
        <w:tab w:val="center" w:pos="4680"/>
        <w:tab w:val="right" w:pos="9360"/>
      </w:tabs>
      <w:spacing w:after="0" w:line="240" w:lineRule="auto"/>
    </w:pPr>
  </w:style>
  <w:style w:type="character" w:styleId="FooterChar" w:customStyle="1">
    <w:name w:val="Footer Char"/>
    <w:basedOn w:val="DefaultParagraphFont"/>
    <w:link w:val="Footer"/>
    <w:uiPriority w:val="99"/>
    <w:rsid w:val="00A43032"/>
  </w:style>
  <w:style w:type="paragraph" w:styleId="ListParagraph">
    <w:name w:val="List Paragraph"/>
    <w:basedOn w:val="Normal"/>
    <w:uiPriority w:val="34"/>
    <w:qFormat/>
    <w:rsid w:val="00A43032"/>
    <w:pPr>
      <w:ind w:left="720"/>
      <w:contextualSpacing/>
    </w:pPr>
  </w:style>
  <w:style w:type="character" w:styleId="Hyperlink">
    <w:name w:val="Hyperlink"/>
    <w:basedOn w:val="DefaultParagraphFont"/>
    <w:uiPriority w:val="99"/>
    <w:unhideWhenUsed/>
    <w:rsid w:val="00A43032"/>
    <w:rPr>
      <w:color w:val="0563C1" w:themeColor="hyperlink"/>
      <w:u w:val="single"/>
    </w:rPr>
  </w:style>
  <w:style w:type="character" w:styleId="UnresolvedMention">
    <w:name w:val="Unresolved Mention"/>
    <w:basedOn w:val="DefaultParagraphFont"/>
    <w:uiPriority w:val="99"/>
    <w:semiHidden/>
    <w:unhideWhenUsed/>
    <w:rsid w:val="00A430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5765335">
      <w:bodyDiv w:val="1"/>
      <w:marLeft w:val="0"/>
      <w:marRight w:val="0"/>
      <w:marTop w:val="0"/>
      <w:marBottom w:val="0"/>
      <w:divBdr>
        <w:top w:val="none" w:sz="0" w:space="0" w:color="auto"/>
        <w:left w:val="none" w:sz="0" w:space="0" w:color="auto"/>
        <w:bottom w:val="none" w:sz="0" w:space="0" w:color="auto"/>
        <w:right w:val="none" w:sz="0" w:space="0" w:color="auto"/>
      </w:divBdr>
      <w:divsChild>
        <w:div w:id="1790127997">
          <w:marLeft w:val="274"/>
          <w:marRight w:val="0"/>
          <w:marTop w:val="150"/>
          <w:marBottom w:val="0"/>
          <w:divBdr>
            <w:top w:val="none" w:sz="0" w:space="0" w:color="auto"/>
            <w:left w:val="none" w:sz="0" w:space="0" w:color="auto"/>
            <w:bottom w:val="none" w:sz="0" w:space="0" w:color="auto"/>
            <w:right w:val="none" w:sz="0" w:space="0" w:color="auto"/>
          </w:divBdr>
        </w:div>
        <w:div w:id="645663901">
          <w:marLeft w:val="274"/>
          <w:marRight w:val="0"/>
          <w:marTop w:val="150"/>
          <w:marBottom w:val="0"/>
          <w:divBdr>
            <w:top w:val="none" w:sz="0" w:space="0" w:color="auto"/>
            <w:left w:val="none" w:sz="0" w:space="0" w:color="auto"/>
            <w:bottom w:val="none" w:sz="0" w:space="0" w:color="auto"/>
            <w:right w:val="none" w:sz="0" w:space="0" w:color="auto"/>
          </w:divBdr>
        </w:div>
        <w:div w:id="124660843">
          <w:marLeft w:val="274"/>
          <w:marRight w:val="0"/>
          <w:marTop w:val="150"/>
          <w:marBottom w:val="0"/>
          <w:divBdr>
            <w:top w:val="none" w:sz="0" w:space="0" w:color="auto"/>
            <w:left w:val="none" w:sz="0" w:space="0" w:color="auto"/>
            <w:bottom w:val="none" w:sz="0" w:space="0" w:color="auto"/>
            <w:right w:val="none" w:sz="0" w:space="0" w:color="auto"/>
          </w:divBdr>
        </w:div>
      </w:divsChild>
    </w:div>
    <w:div w:id="1476071092">
      <w:bodyDiv w:val="1"/>
      <w:marLeft w:val="0"/>
      <w:marRight w:val="0"/>
      <w:marTop w:val="0"/>
      <w:marBottom w:val="0"/>
      <w:divBdr>
        <w:top w:val="none" w:sz="0" w:space="0" w:color="auto"/>
        <w:left w:val="none" w:sz="0" w:space="0" w:color="auto"/>
        <w:bottom w:val="none" w:sz="0" w:space="0" w:color="auto"/>
        <w:right w:val="none" w:sz="0" w:space="0" w:color="auto"/>
      </w:divBdr>
      <w:divsChild>
        <w:div w:id="600256880">
          <w:marLeft w:val="274"/>
          <w:marRight w:val="0"/>
          <w:marTop w:val="150"/>
          <w:marBottom w:val="0"/>
          <w:divBdr>
            <w:top w:val="none" w:sz="0" w:space="0" w:color="auto"/>
            <w:left w:val="none" w:sz="0" w:space="0" w:color="auto"/>
            <w:bottom w:val="none" w:sz="0" w:space="0" w:color="auto"/>
            <w:right w:val="none" w:sz="0" w:space="0" w:color="auto"/>
          </w:divBdr>
        </w:div>
        <w:div w:id="38211831">
          <w:marLeft w:val="274"/>
          <w:marRight w:val="0"/>
          <w:marTop w:val="150"/>
          <w:marBottom w:val="0"/>
          <w:divBdr>
            <w:top w:val="none" w:sz="0" w:space="0" w:color="auto"/>
            <w:left w:val="none" w:sz="0" w:space="0" w:color="auto"/>
            <w:bottom w:val="none" w:sz="0" w:space="0" w:color="auto"/>
            <w:right w:val="none" w:sz="0" w:space="0" w:color="auto"/>
          </w:divBdr>
        </w:div>
        <w:div w:id="258566651">
          <w:marLeft w:val="274"/>
          <w:marRight w:val="0"/>
          <w:marTop w:val="150"/>
          <w:marBottom w:val="0"/>
          <w:divBdr>
            <w:top w:val="none" w:sz="0" w:space="0" w:color="auto"/>
            <w:left w:val="none" w:sz="0" w:space="0" w:color="auto"/>
            <w:bottom w:val="none" w:sz="0" w:space="0" w:color="auto"/>
            <w:right w:val="none" w:sz="0" w:space="0" w:color="auto"/>
          </w:divBdr>
        </w:div>
      </w:divsChild>
    </w:div>
    <w:div w:id="1895238878">
      <w:bodyDiv w:val="1"/>
      <w:marLeft w:val="0"/>
      <w:marRight w:val="0"/>
      <w:marTop w:val="0"/>
      <w:marBottom w:val="0"/>
      <w:divBdr>
        <w:top w:val="none" w:sz="0" w:space="0" w:color="auto"/>
        <w:left w:val="none" w:sz="0" w:space="0" w:color="auto"/>
        <w:bottom w:val="none" w:sz="0" w:space="0" w:color="auto"/>
        <w:right w:val="none" w:sz="0" w:space="0" w:color="auto"/>
      </w:divBdr>
      <w:divsChild>
        <w:div w:id="1339043807">
          <w:marLeft w:val="274"/>
          <w:marRight w:val="0"/>
          <w:marTop w:val="150"/>
          <w:marBottom w:val="0"/>
          <w:divBdr>
            <w:top w:val="none" w:sz="0" w:space="0" w:color="auto"/>
            <w:left w:val="none" w:sz="0" w:space="0" w:color="auto"/>
            <w:bottom w:val="none" w:sz="0" w:space="0" w:color="auto"/>
            <w:right w:val="none" w:sz="0" w:space="0" w:color="auto"/>
          </w:divBdr>
        </w:div>
        <w:div w:id="1241210883">
          <w:marLeft w:val="274"/>
          <w:marRight w:val="0"/>
          <w:marTop w:val="150"/>
          <w:marBottom w:val="0"/>
          <w:divBdr>
            <w:top w:val="none" w:sz="0" w:space="0" w:color="auto"/>
            <w:left w:val="none" w:sz="0" w:space="0" w:color="auto"/>
            <w:bottom w:val="none" w:sz="0" w:space="0" w:color="auto"/>
            <w:right w:val="none" w:sz="0" w:space="0" w:color="auto"/>
          </w:divBdr>
        </w:div>
        <w:div w:id="1539512864">
          <w:marLeft w:val="274"/>
          <w:marRight w:val="0"/>
          <w:marTop w:val="150"/>
          <w:marBottom w:val="0"/>
          <w:divBdr>
            <w:top w:val="none" w:sz="0" w:space="0" w:color="auto"/>
            <w:left w:val="none" w:sz="0" w:space="0" w:color="auto"/>
            <w:bottom w:val="none" w:sz="0" w:space="0" w:color="auto"/>
            <w:right w:val="none" w:sz="0" w:space="0" w:color="auto"/>
          </w:divBdr>
        </w:div>
        <w:div w:id="1600675459">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oi.org/10.1186/1471-2458-14-215" TargetMode="External" Id="rId8" /><Relationship Type="http://schemas.openxmlformats.org/officeDocument/2006/relationships/header" Target="header1.xml"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doi.org/10.17269/s41997-020-00404-4" TargetMode="External"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doi.org/10.1186/s12889-019-7102-9" TargetMode="Externa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yperlink" Target="https://doi.org/10.1186/1479-5868-4-29" TargetMode="External" Id="rId10" /><Relationship Type="http://schemas.openxmlformats.org/officeDocument/2006/relationships/customXml" Target="../customXml/item4.xml" Id="rId19" /><Relationship Type="http://schemas.openxmlformats.org/officeDocument/2006/relationships/settings" Target="settings.xml" Id="rId4" /><Relationship Type="http://schemas.openxmlformats.org/officeDocument/2006/relationships/hyperlink" Target="https://doi.org/10.1016/j.ypmed.2014.01.022" TargetMode="External" Id="rId9" /><Relationship Type="http://schemas.openxmlformats.org/officeDocument/2006/relationships/footer" Target="footer1.xml" Id="rId14" /><Relationship Type="http://schemas.openxmlformats.org/officeDocument/2006/relationships/glossaryDocument" Target="/word/glossary/document.xml" Id="R9aa32c1280364e89" /></Relationships>
</file>

<file path=word/_rels/header1.xml.rels>&#65279;<?xml version="1.0" encoding="utf-8"?><Relationships xmlns="http://schemas.openxmlformats.org/package/2006/relationships"><Relationship Type="http://schemas.openxmlformats.org/officeDocument/2006/relationships/image" Target="/media/image2.png" Id="Rb08875d21f3e4f3d"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7347255-bd10-494f-872e-5d6dca338e1c}"/>
      </w:docPartPr>
      <w:docPartBody>
        <w:p w14:paraId="529269DB">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6F0BB23E02AA4BAA6CC6BEBDD02D05" ma:contentTypeVersion="12" ma:contentTypeDescription="Create a new document." ma:contentTypeScope="" ma:versionID="4ff1650ba7b70740eaaa672ba3124d00">
  <xsd:schema xmlns:xsd="http://www.w3.org/2001/XMLSchema" xmlns:xs="http://www.w3.org/2001/XMLSchema" xmlns:p="http://schemas.microsoft.com/office/2006/metadata/properties" xmlns:ns2="9ef97788-9248-4ec8-8b30-860ca9ef0f40" xmlns:ns3="1d5540e0-b3d4-44c4-831a-a4c580b7d45b" targetNamespace="http://schemas.microsoft.com/office/2006/metadata/properties" ma:root="true" ma:fieldsID="6d47365c05190449c5b977bf569d4811" ns2:_="" ns3:_="">
    <xsd:import namespace="9ef97788-9248-4ec8-8b30-860ca9ef0f40"/>
    <xsd:import namespace="1d5540e0-b3d4-44c4-831a-a4c580b7d4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f97788-9248-4ec8-8b30-860ca9ef0f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5540e0-b3d4-44c4-831a-a4c580b7d45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41EBA6-4D5E-4E41-94E1-2386053857D9}">
  <ds:schemaRefs>
    <ds:schemaRef ds:uri="http://schemas.openxmlformats.org/officeDocument/2006/bibliography"/>
  </ds:schemaRefs>
</ds:datastoreItem>
</file>

<file path=customXml/itemProps2.xml><?xml version="1.0" encoding="utf-8"?>
<ds:datastoreItem xmlns:ds="http://schemas.openxmlformats.org/officeDocument/2006/customXml" ds:itemID="{73AD43E8-5A41-4493-9C61-DC5A769921B6}"/>
</file>

<file path=customXml/itemProps3.xml><?xml version="1.0" encoding="utf-8"?>
<ds:datastoreItem xmlns:ds="http://schemas.openxmlformats.org/officeDocument/2006/customXml" ds:itemID="{EA2833B2-E62F-4858-B2B7-454CDB4D12E8}"/>
</file>

<file path=customXml/itemProps4.xml><?xml version="1.0" encoding="utf-8"?>
<ds:datastoreItem xmlns:ds="http://schemas.openxmlformats.org/officeDocument/2006/customXml" ds:itemID="{3F1F4F60-0802-49C6-9732-EE6F6AEA702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UNC Chapel Hill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jleeman</dc:creator>
  <cp:keywords/>
  <dc:description/>
  <cp:lastModifiedBy>Leeman, Jennifer</cp:lastModifiedBy>
  <cp:revision>3</cp:revision>
  <dcterms:created xsi:type="dcterms:W3CDTF">2021-04-14T13:47:00Z</dcterms:created>
  <dcterms:modified xsi:type="dcterms:W3CDTF">2021-05-25T15:23:40Z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0x010100356F0BB23E02AA4BAA6CC6BEBDD02D05</vt:lpwstr>
  </property>
</Properties>
</file>